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datu devējs vai datu patērētājs konstatē problēmas DAGR darbībā, tas par identificēto problēmu informē aģentūru atbilstoši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terminu "datu patērētājs".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30.23. Veselības un darbspēju ekspertīzes ārstu valsts komisijas pārziņā esošā Invaliditātes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resursa nosaukumu to aizstājot ar vārdiem "Invaliditātes informatīvā sistēma".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7.sadaļu papildināt ar informāciju par to, vai un kāda būs administratīvā ietekme (finansiālā, cilvēkresursu) uz institūcijām, kuru pārziņā ir informācijas sistēmas, kas minētas MK noteikumu projekta 30.punktā kā datu devējas, kuru datu kopas tiks iekļautas DAGR.  Anotācijas 1.3.sadaļā minēts par administratīvo slogu norādot, ka “lai mazinātu administratīvo slogu un vienkāršotu DAGR izmantošanas uzsākšanas procedūru, tā tiek noteikta līdzīgi kā Ministru kabineta 2016.gada 14.jūnija noteikumos Nr.374 “Valsts informācijas sistēmu savietotāja noteikumi””. Savukārt anotācijas  7.sadaļā ietekme paredzēta tikai uz Vides aizsardzības un reģionālās attīstības ministriju un Valsts reģionālās attīstības aģentūru, bet sadaļa par administratīvo slogu uz citām iesaistītajām institūcijām nav aizpildīta.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pie terminiem skaidrot normatīvā akta projektā lietoto terminu "Persona" , lai būtu viennozīmīgi saprotams, vai runa ir par fiziskām personām vai juridiskām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tiem personas datiem, kas iegūti no citām informācijas sistēmām, personas datu pārzinis ir tas datu devējs, kurš ir atbildīgs par personas datu apstrādi attiecīgajā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izteikt citā redakcijā, aizstājot vārdu "citām" ar vārdu savienojumu "datu devēju".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savienotāja konfigurēšanu ir atbildīgs attiecīgais datu devējs vai datu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punkta redakciju, lai būtu nepārprotami skaidrs, ka datu devējs ir atbildīgs par datu devēja savienotāja konfigurāciju, bet datu saņēmējs - par datu saņēmēja savienotāja konfigurāciju.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07.11.2022.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07.11.2022.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