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22-TA-1228: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Latvijas Republikas Uzņēmumu reģistru"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15</w:t>
            </w:r>
            <w:r w:rsidR="00000000" w:rsidRPr="00000000" w:rsidDel="00000000">
              <w:rPr>
                <w:rtl w:val="0"/>
              </w:rPr>
              <w:t xml:space="preserve">)  analizē tiesību aktus, lēmumus, citu institūciju sniegto informāciju un publiski ikvienam pieejamo informāciju (turpmāk – ar sankciju piemērošanu saistīta informācija) par piemērotajām starptautiskajām un nacionālajām sankcijām (finanšu un civiltiesiskajiem ierobežojumiem) un Ziemeļatlantijas līguma organizācijas dalībvalsts sankcijām, kuru noteiktās sankcijas saskaņā ar Finanšu un kapitāla tirgus komisijas normatīvajiem noteikumiem būtiski ietekmē finanšu un kapitāla tirgus dalībnieku vai finanšu un kapitāla tirgus intereses (turpmāk – Ziemeļatlantijas līguma organizācijas dalībvalsts sankcijas) kopsakarā ar Uzņēmumu reģistra vestajos reģistros ierakstīto vai reģistrēto informāciju un citiem tam iesniegtajiem dokumentiem, lai secinātu noteikto sankciju attiecināšanu uz tiesību subjektiem, kas reģistrēti Uzņēmumu reģistra vestajos reģistros, un nodrošinātu šo ziņu publisku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piedāvāto 4.panta 5.</w:t>
            </w:r>
            <w:r w:rsidR="00000000" w:rsidRPr="00000000" w:rsidDel="00000000">
              <w:rPr>
                <w:vertAlign w:val="superscript"/>
                <w:rtl w:val="0"/>
              </w:rPr>
              <w:t xml:space="preserve">15</w:t>
            </w:r>
            <w:r w:rsidR="00000000" w:rsidRPr="00000000" w:rsidDel="00000000">
              <w:rPr>
                <w:rtl w:val="0"/>
              </w:rPr>
              <w:t xml:space="preserve"> punkta redakciju, ņemot vērā, ka ar 2023.gada 1.janvāri ir stājies spēkā Latvijas Bankas likums, saskaņā ar kuru ir lietots termins "finanšu tirgus" nevis "finanšu un kapitāla tirgus". Ar 2023.gada 1.janvāri Finanšu un kapitāla tirgus komisija ir integrēta Latvijas Bankā, kā rezultātā Latvijas Banka pārņem visas finanšu tirgus uzraudzības un attīstības veicināšanas, kā arī noregulējuma iestādes funkcijas. Līdz ar to lūdzam šajā punktā iestādes nosaukumu "Finanšu un kapitāla tirgus komisija" aizstāt ar iestādes nosaukumu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Latvijas Bankas likuma Pārejas noteikumu 3.punkts nosaka, ka Latvijas Bankas un Finanšu un kapitāla tirgus komisijas līdz šā likuma spēkā stāšanās dienai izdotie ārējie normatīvie akti, vadlīnijas un ieteikumi piemērojami līdz dienai, kad stājas spēkā attiecīgie Latvijas Bankas ārējie normatīvie akti, vadlīnijas vai ieteikumi, bet ne ilgāk kā līdz 2024.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15)</w:t>
            </w:r>
            <w:r w:rsidR="00000000" w:rsidRPr="00000000" w:rsidDel="00000000">
              <w:rPr>
                <w:rtl w:val="0"/>
              </w:rPr>
              <w:t xml:space="preserve">  analizē tiesību aktus, lēmumus, citu institūciju sniegto informāciju un publiski ikvienam pieejamo informāciju (turpmāk – ar sankciju piemērošanu saistīta informācija) par piemērotajām starptautiskajām un nacionālajām sankcijām (finanšu un civiltiesiskajiem ierobežojumiem) un Ziemeļatlantijas līguma organizācijas dalībvalsts sankcijām, kuru noteiktās sankcijas saskaņā ar Latvijas Bankas noteikumiem būtiski ietekmē finanšu tirgus un tā dalībnieku intereses (turpmāk – Ziemeļatlantijas līguma organizācijas dalībvalsts sankcijas) kopsakarā ar Uzņēmumu reģistra vestajos reģistros ierakstīto vai reģistrēto informāciju un citiem tam iesniegtajiem dokumentiem, lai secinātu noteikto sankciju attiecināšanu uz tiesību subjektiem, kas reģistrēti Uzņēmumu reģistra vestajos reģistros, un nodrošinātu šo ziņu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22-TA-1228</w:t>
    </w:r>
    <w:r>
      <w:br/>
    </w:r>
    <w:r w:rsidR="00000000" w:rsidRPr="00000000" w:rsidDel="00000000">
      <w:rPr>
        <w:rtl w:val="0"/>
      </w:rPr>
      <w:t xml:space="preserve">Izdrukāts 11.04.2023.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22-TA-1228</w:t>
    </w:r>
    <w:r>
      <w:br/>
    </w:r>
    <w:r w:rsidR="00000000" w:rsidRPr="00000000" w:rsidDel="00000000">
      <w:rPr>
        <w:rtl w:val="0"/>
      </w:rPr>
      <w:t xml:space="preserve">Izdrukāts 11.04.2023.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Atzinumi_22-TA-1228.docx</dc:title>
</cp:coreProperties>
</file>

<file path=docProps/custom.xml><?xml version="1.0" encoding="utf-8"?>
<Properties xmlns="http://schemas.openxmlformats.org/officeDocument/2006/custom-properties" xmlns:vt="http://schemas.openxmlformats.org/officeDocument/2006/docPropsVTypes"/>
</file>