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decembra noteikumos Nr. 1164 "Ostas valsts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minēto, ka Ministru kabineta 2010. gada 21. decembra noteikumu Nr. 1164 "Ostas valsts kontroles kārtība" 98., 99. un 100. punktā paredzētās kārtības pamatā ir ieviestās Eiropas Parlamenta un Padomes 2009. gada 23. aprīļa Direktīvas 2009/16/EK par ostas valsts kontroli (pārstrādāta versija) 24. panta 2. punkta prasība nodrošināt, ka informācija par jebkura kuģa faktisko ienākšanas un iziešanas laiku tiek nosūtīta uz inspekciju datubāzi (THETHIS) (sk. </w:t>
            </w:r>
            <w:r w:rsidR="00000000" w:rsidRPr="00000000" w:rsidDel="00000000">
              <w:rPr>
                <w:i w:val="1"/>
                <w:rtl w:val="0"/>
              </w:rPr>
              <w:t xml:space="preserve">anotāciju https://tap.mk.gov.lv/lv/mk/tap/?pid=40188196</w:t>
            </w:r>
            <w:r w:rsidR="00000000" w:rsidRPr="00000000" w:rsidDel="00000000">
              <w:rPr>
                <w:rtl w:val="0"/>
              </w:rPr>
              <w:t xml:space="preserve">), lūdzam papildināt noteikumu projekta anotācijas 5.4. sadaļas 1. tabulu ar informāciju par minētās direktīvas prasības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6</w:t>
            </w:r>
            <w:r w:rsidR="00000000" w:rsidRPr="00000000" w:rsidDel="00000000">
              <w:rPr>
                <w:rtl w:val="0"/>
              </w:rPr>
              <w:t xml:space="preserve"> Ja Kuģošanas drošības inspekcija divas vai vairākas reizes pēc kārtas konstatē, ka uz kuģa nav derīga atbilstības dokumenta, kas izsniegts saskaņā ar “Eiropas Parlamenta un Padomes 2015. gada 29. aprīļa Regulu Nr. 2015/757 par jūras transporta oglekļa dioksīda emisiju monitoringu, ziņošanu un verifikāciju un ar ko groza Direktīvu 2009/16/EK (turpmāk – Regula Nr. 2015/757)”</w:t>
            </w:r>
            <w:r w:rsidR="00000000" w:rsidRPr="00000000" w:rsidDel="00000000">
              <w:rPr>
                <w:rtl w:val="0"/>
              </w:rPr>
              <w:t xml:space="preserve">​</w:t>
            </w:r>
            <w:r w:rsidR="00000000" w:rsidRPr="00000000" w:rsidDel="00000000">
              <w:rPr>
                <w:rtl w:val="0"/>
              </w:rPr>
              <w:t xml:space="preserve">, un ar citiem ostas valsts kontroles pasākumiem nav izdevies panākt šo pienākumu izpildi, Kuģošanas drošības inspekcija var pieņemt lēmumu par attiecīgā kuģa izraidīšanu no Latvijas ostas vai enkurvietas. Par pieņemto lēmumu Kuģošanas drošības inspekcija vienas darbdienas laikā nosūta paziņojumu Eiropas Komisijai, Eiropas Jūras drošības aģentūrai (EMSA), Eiropas Savienības dalībvalstīm un attiecīgā kuģa karoga 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neskaidrojot attiecīgās regulas prasības. Līdzīgi lūdzam precizēt arī 55.</w:t>
            </w:r>
            <w:r w:rsidR="00000000" w:rsidRPr="00000000" w:rsidDel="00000000">
              <w:rPr>
                <w:vertAlign w:val="superscript"/>
                <w:rtl w:val="0"/>
              </w:rPr>
              <w:t xml:space="preserve">12 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Kuģošanas drošības inspekcija konstatē, ka kuģis divos vai vairākos secīgos ziņošanas periodos nav izpildījis monitoringa un ziņošanas pienākumus, Valsts vides dienests atbilstoši Eiropas Parlamenta un Padomes 2015. gada 29. aprīļa Regulas Nr. 2015/757 par jūras transporta oglekļa dioksīda emisiju monitoringu, ziņošanu un verifikāciju un ar ko groza Direktīvu 2009/16/EK (turpmāk – Regula Nr. 2015/757) 20. panta 3. punktā noteiktajam var pieņemt lēmumu par attiecīgā kuģa izraidīšanu no Latvijas ostas vai enkurvietas un par pieņemto lēmumu paziņo Eiropas Komisijai, Eiropas Jūras drošības aģentūrai (EMSA), Eiropas Savienības dalībvalstīm un attiecīgā kuģa karoga 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14</w:t>
            </w:r>
            <w:r w:rsidR="00000000" w:rsidRPr="00000000" w:rsidDel="00000000">
              <w:rPr>
                <w:rtl w:val="0"/>
              </w:rPr>
              <w:t xml:space="preserve"> Šo noteikumu </w:t>
            </w:r>
            <w:r w:rsidR="00000000" w:rsidRPr="00000000" w:rsidDel="00000000">
              <w:rPr>
                <w:rtl w:val="0"/>
              </w:rPr>
              <w:t xml:space="preserve">55.</w:t>
            </w:r>
            <w:r w:rsidR="00000000" w:rsidRPr="00000000" w:rsidDel="00000000">
              <w:rPr>
                <w:vertAlign w:val="superscript"/>
                <w:rtl w:val="0"/>
              </w:rPr>
              <w:t xml:space="preserve">12</w:t>
            </w:r>
            <w:r w:rsidR="00000000" w:rsidRPr="00000000" w:rsidDel="00000000">
              <w:rPr>
                <w:rtl w:val="0"/>
              </w:rPr>
              <w:t xml:space="preserve">  un </w:t>
            </w:r>
            <w:r w:rsidR="00000000" w:rsidRPr="00000000" w:rsidDel="00000000">
              <w:rPr>
                <w:rtl w:val="0"/>
              </w:rPr>
              <w:t xml:space="preserve">55.</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kuģa ienākšanas aizliegums ir spēkā līdz brīdim, kamēr tiek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55.</w:t>
            </w:r>
            <w:r w:rsidR="00000000" w:rsidRPr="00000000" w:rsidDel="00000000">
              <w:rPr>
                <w:vertAlign w:val="superscript"/>
                <w:rtl w:val="0"/>
              </w:rPr>
              <w:t xml:space="preserve">14 </w:t>
            </w:r>
            <w:r w:rsidR="00000000" w:rsidRPr="00000000" w:rsidDel="00000000">
              <w:rPr>
                <w:rtl w:val="0"/>
              </w:rPr>
              <w:t xml:space="preserve">punktu, neskaidrojot attiecīgās regulas prasības. Proti, norādām, ka minētā regula nepārprotami paredz konkrētus uzņēmuma pienākumus, līdz kuru izpildei ir spēkā attiecīgais aizliegums, līdz ar to nav saskatāma nepieciešamību minēto skaidrot noteikumu projektā (regula paredz pienākumu apstiprināt, ka ir izpildīts pienākums turēt derīgu FuelEU atbilstības dokumentu, par šādu derīgu FuelEU atbilstības dokumentu paziņojot kompetentajai valsts iestādei, kura izdevusi izraidīšanas rīkojumu, bet neparedz sniegt pienācīgus pierādījumus, uz ko norādīts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14</w:t>
            </w:r>
            <w:r w:rsidR="00000000" w:rsidRPr="00000000" w:rsidDel="00000000">
              <w:rPr>
                <w:rtl w:val="0"/>
              </w:rPr>
              <w:t xml:space="preserve">1. kuģošanas sabiedrība sniedz Valsts vides dienestam pietiekamus pierādījumus, ka uz kuģa ir derīgs FuelEU atbilstības dokuments, kas apliecina kuģa atbilstību Regulas Nr. </w:t>
            </w:r>
            <w:r w:rsidR="00000000" w:rsidRPr="00000000" w:rsidDel="00000000">
              <w:rPr>
                <w:rtl w:val="0"/>
              </w:rPr>
              <w:t xml:space="preserve">2023/1805</w:t>
            </w:r>
            <w:r w:rsidR="00000000" w:rsidRPr="00000000" w:rsidDel="00000000">
              <w:rPr>
                <w:rtl w:val="0"/>
              </w:rPr>
              <w:t xml:space="preserve"> prasībām.Šādā gadījumā Valsts vides dienests pieņem lēmumu par kuģa ienākšanas aizlieguma atcelšanu un par pieņemto lēmumu nekavējoties informē paziņo kuģošanas sabiedrībai, Nacionālo bruņoto spēku Krasta apsardzes dienestam un Kuģošanas drošības inspekcijai, kā arī, izmantojot FuelEU datubāzi, par pieņemto lēmumu vienas darbdienas laikā (vai nekavējoties) informē Eiropas Komisiju, Eiropas Savienības dalībvalstis, un, attiecīgā kuģa karoga 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10. punkta neizriet, kādos gadījumos Eiropas Komisija, Eiropas Savienības dalībvalstis un attiecīgā kuģa karoga valsts informējama vienas darbdienas laikā, bet kādā - nekavējoties, kā arī neizriet atskaites punkts konkrētā termiņa aprēķināšanā, tādēļ lūdzam atbilstoši precizēt vai svītrot minēto punktu. Vienlaikus aicinām arī nepārrakstīt regulas prasības attiecībā uz Eiropas Komisijas informēšanu.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14</w:t>
            </w:r>
            <w:r w:rsidR="00000000" w:rsidRPr="00000000" w:rsidDel="00000000">
              <w:rPr>
                <w:rtl w:val="0"/>
              </w:rPr>
              <w:t xml:space="preserve">1. kuģošanas sabiedrība sniedz Valsts vides dienestam pietiekamus pierādījumus, ka uz kuģa ir derīgs FuelEU atbilstības dokuments, kas apliecina kuģa atbilstību Regulas Nr. 2023/1805 prasībām. Šādā gadījumā Valsts vides dienests pieņem lēmumu par kuģa ienākšanas aizlieguma atcelšanu un par pieņemto lēmumu nekavējoties informē paziņo kuģošanas sabiedrībai, Nacionālo bruņoto spēku Krasta apsardzes dienestam un Kuģošanas drošības inspekcijai, kā arī informē Eiropas Komisiju, Eiropas Savienības dalībvalstis, un, attiecīgā kuģa karoga valsti saskaņā ar Regulas Nr. 2023/1805 25. panta 5. 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24-TA-2015</w:t>
    </w:r>
    <w:r>
      <w:br/>
    </w:r>
    <w:r w:rsidR="00000000" w:rsidRPr="00000000" w:rsidDel="00000000">
      <w:rPr>
        <w:rtl w:val="0"/>
      </w:rPr>
      <w:t xml:space="preserve">Izdrukāts 27.11.2024.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24-TA-2015</w:t>
    </w:r>
    <w:r>
      <w:br/>
    </w:r>
    <w:r w:rsidR="00000000" w:rsidRPr="00000000" w:rsidDel="00000000">
      <w:rPr>
        <w:rtl w:val="0"/>
      </w:rPr>
      <w:t xml:space="preserve">Izdrukāts 27.11.2024.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Atzinumi_24-TA-2015.docx</dc:title>
</cp:coreProperties>
</file>

<file path=docProps/custom.xml><?xml version="1.0" encoding="utf-8"?>
<Properties xmlns="http://schemas.openxmlformats.org/officeDocument/2006/custom-properties" xmlns:vt="http://schemas.openxmlformats.org/officeDocument/2006/docPropsVTypes"/>
</file>