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Rīcības plāns "Cilvēkkapitāla attīstības stratēģija 2024.-2027. 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Rīcības plāna "Cilvēkkapitāla attīstības stratēģija 2024.-2027. gadam" 4.sadaļas, 4.3. tabulā "Īstenotās kvalificētu darbinieku piesaistes aktivitātes/rezultāti/ termiņi" apakšsadaļā "4.2.1. Pieaugušo mācīšanās kultūras attīstība sabiedrībā" pie punkta Nr.4.2.1.4. "Pasākumi (NVA Karjeras dienas; mērķētas karjeras konsultācijas u.c.) profesionālās izglītības popularitātes veicināšanai pieaugušajiem" atbildība ir norādīta "</w:t>
            </w:r>
            <w:r w:rsidR="00000000" w:rsidRPr="00000000" w:rsidDel="00000000">
              <w:rPr>
                <w:i w:val="1"/>
                <w:rtl w:val="0"/>
              </w:rPr>
              <w:t xml:space="preserve">LM/ </w:t>
            </w:r>
            <w:r w:rsidR="00000000" w:rsidRPr="00000000" w:rsidDel="00000000">
              <w:rPr>
                <w:b w:val="1"/>
                <w:i w:val="1"/>
                <w:rtl w:val="0"/>
              </w:rPr>
              <w:t xml:space="preserve">ZM</w:t>
            </w:r>
            <w:r w:rsidR="00000000" w:rsidRPr="00000000" w:rsidDel="00000000">
              <w:rPr>
                <w:i w:val="1"/>
                <w:rtl w:val="0"/>
              </w:rPr>
              <w:t xml:space="preserve">, nozaru ministrijas</w:t>
            </w:r>
            <w:r w:rsidR="00000000" w:rsidRPr="00000000" w:rsidDel="00000000">
              <w:rPr>
                <w:rtl w:val="0"/>
              </w:rPr>
              <w:t xml:space="preserve">".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Paredzam, ka šī atbildība pirmāri ir bijusi mērķēta uz IZM. Lūdzam to labot Rīcības plāna projektā.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Līva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20.03.2024.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20.03.2024.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