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iepazīstoties ar Satiksmes ministrijas izstrādātā informatīvā ziņojuma "Transporta attīstības pamatnostādņu 2021.-2027.gadam starpposma izvērtējums" (turpmāk - informatīvais ziņojums) sagatavoto redakciju, sniedz sekojošu iebildumu: aicinām precizēt informatīva ziņojuma pielikumā "Pārskats par finansējuma avotiem" 4.tabulā </w:t>
            </w:r>
            <w:r w:rsidR="00000000" w:rsidRPr="00000000" w:rsidDel="00000000">
              <w:rPr>
                <w:b w:val="1"/>
                <w:rtl w:val="0"/>
              </w:rPr>
              <w:t xml:space="preserve">ANM plānotais finansējums</w:t>
            </w:r>
            <w:r w:rsidR="00000000" w:rsidRPr="00000000" w:rsidDel="00000000">
              <w:rPr>
                <w:rtl w:val="0"/>
              </w:rPr>
              <w:t xml:space="preserve"> iekļautā pasākuma </w:t>
            </w:r>
            <w:r w:rsidR="00000000" w:rsidRPr="00000000" w:rsidDel="00000000">
              <w:rPr>
                <w:u w:val="single"/>
                <w:rtl w:val="0"/>
              </w:rPr>
              <w:t xml:space="preserve">Nr. 3.1.1.6.i. "Pašvaldību funkciju īstenošanai un pakalpojumu sniegšanai nepieciešamo bezizmešu transportlīdzekļu iegāde"</w:t>
            </w:r>
            <w:r w:rsidR="00000000" w:rsidRPr="00000000" w:rsidDel="00000000">
              <w:rPr>
                <w:rtl w:val="0"/>
              </w:rPr>
              <w:t xml:space="preserve"> kopējo pieejamo Atveseļošanās fonda finansējumu uz 8,8 milj.</w:t>
            </w:r>
            <w:r w:rsidR="00000000" w:rsidRPr="00000000" w:rsidDel="00000000">
              <w:rPr>
                <w:i w:val="1"/>
                <w:rtl w:val="0"/>
              </w:rPr>
              <w:t xml:space="preserve">euro</w:t>
            </w:r>
            <w:r w:rsidR="00000000" w:rsidRPr="00000000" w:rsidDel="00000000">
              <w:rPr>
                <w:rtl w:val="0"/>
              </w:rPr>
              <w:t xml:space="preserve">, atbilstoši 2024.gada 17. septembrī apstiprinātajiem Ministru kabineta grozījumiem "</w:t>
            </w:r>
            <w:r w:rsidR="00000000" w:rsidRPr="00000000" w:rsidDel="00000000">
              <w:rPr>
                <w:i w:val="1"/>
                <w:rtl w:val="0"/>
              </w:rPr>
              <w:t xml:space="preserve">Grozījumi Ministru kabineta 2022. gada 25. oktobra noteikumos Nr. 673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īstenošanas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iepazīstoties ar Satiksmes ministrijas izstrādātā informatīvā ziņojuma "Transporta attīstības pamatnostādņu 2021.-2027.gadam starpposma izvērtējums" (turpmāk - informatīvais ziņojums) sagatavoto redakciju, sniedz sekojošu iebildumu: aicinām papildināt informatīva ziņojuma pielikumā "Pārskats par finansējuma avotiem" iekļauto 3.tabulu </w:t>
            </w:r>
            <w:r w:rsidR="00000000" w:rsidRPr="00000000" w:rsidDel="00000000">
              <w:rPr>
                <w:b w:val="1"/>
                <w:rtl w:val="0"/>
              </w:rPr>
              <w:t xml:space="preserve">ES Kohēzijas politikas programmas 2021.-2027.gadam pasākumi transporta jomā </w:t>
            </w:r>
            <w:r w:rsidR="00000000" w:rsidRPr="00000000" w:rsidDel="00000000">
              <w:rPr>
                <w:rtl w:val="0"/>
              </w:rPr>
              <w:t xml:space="preserve">ar informāciju par </w:t>
            </w:r>
            <w:r w:rsidR="00000000" w:rsidRPr="00000000" w:rsidDel="00000000">
              <w:rPr>
                <w:u w:val="single"/>
                <w:rtl w:val="0"/>
              </w:rPr>
              <w:t xml:space="preserve">SAM 6.1.1.6. pasākumu "Bezemisiju transportlīdzekļu izmantošanas veicināšana pašvaldībās", </w:t>
            </w:r>
            <w:r w:rsidR="00000000" w:rsidRPr="00000000" w:rsidDel="00000000">
              <w:rPr>
                <w:rtl w:val="0"/>
              </w:rPr>
              <w:t xml:space="preserve">turklāt ņemot vērā, ka uz šo pasākumu vairākkārt ir atsauce arī citviet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1.2.1. tabulas "RV uzdevumi un pasākumi"  1.3.5. apakšpunktā dzēst norādi par Valsts informācijas resursu, sistēmu un sadarbspējas informācijas sistēmas (VIRSIS) darbību regulējošo normatīvo aktu spēkā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regulējums ir apstiprināts ar Ministru kabineta 2024. gada 6. februāra noteikumiem Nr. 89 "Valsts informācijas resursu, sistēmu un sadarbspējas informācijas sistēmas noteikumi".  VIRSIS jau pilnā apmērā darbojas produkcijas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Datu izplatīšanas un pārvaldības platforma (DAGR)  arī kopš 2024.gada decembra ir produkcijas vidē, pašlaik noris darbs pie datu devēju un ņēmēju pieslēgšanas. Lūdzam ATD sazināties ar Valsts digitālās attīstības aģentūru (VDAA) par nepieciešamo datu devēju un bma integrēšanu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Sniega-Sniedziņa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