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613 "Valsts un Eiropas Savienības atbalsta piešķiršanas kārtība Eiropas Lauksaimniecības fonda lauku attīstībai intervencē "Atbalsts Eiropas Inovāciju partnerības darba grupu projektu īstenošanai" atklātu projektu iesniegumu konkursu veidā 2023.–2027. gada plānošanas periodam"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atspoguļot administratīvā sloga izmaiņas, kas izriet no noteikumu projekta 14. un 27. punktā paredzētajām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7. punktu tiek palielināts iepirkuma slieksnis, kā rezultātā samazinās to gadījumu skaits, kuros atbalsta pretendentiem jāveic iepirkuma procedūras un ar to saistītās administratīvās darbības (piemēram, cenu aptaujas sagatavošana, dokumentācijas iesniegšana un saskaņošana). Savukārt ar noteikumu projekta 13. -15. punktā noteiktām izmaiņām ir precizēts un paplašināts projekta iesniegumā sniedzamās informācijas apjoms (piemēram, papildinot prasības attiecībā uz tehnoloģiskās gatavības līmeni (TRL), projekta ietekmes raksturojumu un nozares vajadzību pamatojumu), tostarp paredzot informācijas sagatavošanu, izmantojot starptautisku terminoloģiju vai angļu valodu, kas var palielināt administratīvo slogu atbalsta pretendentiem (piemēram, papildu laika patēriņš vai nepieciešamība piesaistīt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minēto izmaiņu ietekmi uz administratīvā sloga apmēru (gan samazinājumu, gan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projekta 40. punktā veiktās izmaiņas, ar kurām tiek precizēts un paplašināts projekta beigu pārskatā iekļaujamās informācijas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minētās darbības pēc būtības var būt attiecināmas uz projekta ietvaros finansējamām aktivitātēm (piemēram, projekta koordinācijas un publicitātes izmaksas), lūdzam izvērtēt, vai tās pilnībā tiek segtas no projekta finansējuma. Gadījumā, ja kāda daļa no prasībām netiek segta, lūdzam izvērtēt to ietekmi uz administratīvo slogu un veikt attiecīgu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pilnīgu administratīvā sloga novērtējumu, lūdzam izvērtēt arī citas noteikumu projektā ietvertās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6.3.apakšpunktā norādīto informāciju ar īsu aprakstu par publiskās apspriešanas laikā saņemtajiem viedokļiem. Jebkuram interesentam ir jābūt iespējai gūt priekšstatu par saņemtajiem priekšlikumiem anotācijā (bez iepazīšanas ar papildu dokumentiem).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sadaļā ietverto ietekmes aprakstu, nodrošinot pilnīgu un saturiski pamatotu informāciju par ietekmi uz identificētajām sabiedrības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fiziskajām personām ietekmes apraksts nav sniegts, lai gan ir norādīts, ka tiesiskais regulējums tās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juridiskajām personām sniegtais apraksts galvenokārt raksturo EIP darba grupas sastāvu un būtību, nevis konkrēto regulējuma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 konkrētu ietekmes aprakstu fiziskajām personām vai pamatot, kāpēc ietekme nav identificējama;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juridiskajām personām papildināt aprakstu, skaidri norādot, kādas izmaiņas regulējums rada (piemēram, pienākumi, prasības, procesu izmaiņas, iespējamā sloga palielināšanās vai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nodrošinās anotācijas atbilstību prasībām un skaidru priekšstatu par regulējuma ietekmi uz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papildināt noteikumu projekta 6.1.apakšpuntu ar 6.3.pakšpunktā minētajām biedrībām.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Legzdiņa-Joja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24.04.2026. 17.21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26-TA-528</w:t>
    </w:r>
    <w:r>
      <w:br/>
    </w:r>
    <w:r w:rsidR="00000000" w:rsidRPr="00000000" w:rsidDel="00000000">
      <w:rPr>
        <w:rtl w:val="0"/>
      </w:rPr>
      <w:t xml:space="preserve">Izdrukāts 24.04.2026. 17.21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Atzinumi_26-TA-528.docx</dc:title>
</cp:coreProperties>
</file>

<file path=docProps/custom.xml><?xml version="1.0" encoding="utf-8"?>
<Properties xmlns="http://schemas.openxmlformats.org/officeDocument/2006/custom-properties" xmlns:vt="http://schemas.openxmlformats.org/officeDocument/2006/docPropsVTypes"/>
</file>