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pasākuma ietekmi uz horizontālo principu "Vienlīdzība, iekļaušana, nediskriminācija un pamattiesību ievērošana".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ietkeme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Uzņēmējdarbības un inovāciju atbalsta programmās tiks piemēroti vispārējie vienlīdzīgu iespēju un nediskriminācijas principi. Noteikumu projekts paredz atbalstāmās darbības un attiecināmās izmaksas horizontālo principu veicinošām darbībām, piemēram,  izmaksas reāllaika transkripcijas, tulkošanas zīmju valodā un subtitrēšanas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finansējuma saņēmējam ir noteiks pienākums iesniegt datus par atbalstu saņēmušo komersantu dalībniekiem valdēs - sieviešu un vīriešu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16.02.2023.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16.02.2023.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