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nepieciešamību precizēt anotācijas 3.sadaļā sniegto informāciju par ietekmi uz valsts budžetu. Ņemot vērā, ka 2.3.1.2.i. investīcijas "Uzņēmumu digitālo prasmju attīstība" īstenošanai ir paredzēts tikai Atveseļošanas fonda finansējums, jāaizpilda sadaļas 1., 1.1., 2. un 2.1.punkts, savukārt 3., 3.1. un 5.punktā sniegtā informācija par finansiālo bilanci ir jāsvītro. Sadaļas 6.punktā lūdzam norādīt pamatojumu investīcijas finansējuma samazinājumam 3 515 154 euro apmērā un punktu “Cita informācija” papildināt ar informāciju par Ekonomikas ministrijas budžeta programmu, kurā ir ieplānots finansējums investīcijas īstenošanai anotācijas 2. un 4.ailē norādītajā apmērā. Vienlaikus vēršam uzmanību, ka šobrīd punkta “Cita informācija” pirmajā teikumā sniegtā informācija par finansējuma sadalīju pa gadiem nesakrīt ar sadaļas tabulas 2., 3. un 4.ailē norādīto apmēru, attiecīgi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uzņēmumiem nodrošināto apmācību skaits digitālo pamatprasmju apguvei līdz 2024. gada 30. jūnijam, – 628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18.02.2025. pieņemtajā </w:t>
            </w:r>
            <w:r w:rsidR="00000000" w:rsidRPr="00000000" w:rsidDel="00000000">
              <w:rPr>
                <w:i w:val="1"/>
                <w:rtl w:val="0"/>
              </w:rPr>
              <w:t xml:space="preserve">Padomes īstenošanas lēmuma, ar ko groza 2021. gada 13. jūlija īstenošanas lēmumu par Latvijas atveseļošanas un noturības plāna novērtējuma apstiprināšanu</w:t>
            </w:r>
            <w:r w:rsidR="00000000" w:rsidRPr="00000000" w:rsidDel="00000000">
              <w:rPr>
                <w:rtl w:val="0"/>
              </w:rPr>
              <w:t xml:space="preserve"> versijā 63. un 64.rādītāja nosaukums ir "Uzņēmumiem nodrošināto digitālo pamatprasmju mācību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1886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04.03.2025. Eiropas Komisija iesūtīja saskaņošanai Atveseļošanas fonda plāna Darbības kārtības, par kuru vienojas Eiropas Komisija un Latvija, grozījumu projektu, kurā cita starpā ir svītroti visi Atveseļošanas fonda uzraudzības rādītāji, līdz ar to iesakām svītrot MK noteikumu 9.2.apakšpunktu.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otrās atlases kārtas ietvaros projekta iesniegumus iesniedz par mazāku summu nekā šo noteikumu </w:t>
            </w:r>
            <w:r w:rsidR="00000000" w:rsidRPr="00000000" w:rsidDel="00000000">
              <w:rPr>
                <w:rtl w:val="0"/>
              </w:rPr>
              <w:t xml:space="preserve">7.2.</w:t>
            </w:r>
            <w:r w:rsidR="00000000" w:rsidRPr="00000000" w:rsidDel="00000000">
              <w:rPr>
                <w:rtl w:val="0"/>
              </w:rPr>
              <w:t xml:space="preserve"> apakšpunktā</w:t>
            </w:r>
            <w:r w:rsidR="00000000" w:rsidRPr="00000000" w:rsidDel="00000000">
              <w:rPr>
                <w:rtl w:val="0"/>
              </w:rPr>
              <w:t xml:space="preserve"> minētais maksimāli pieļaujamais finansējums, šo noteikumu </w:t>
            </w:r>
            <w:r w:rsidR="00000000" w:rsidRPr="00000000" w:rsidDel="00000000">
              <w:rPr>
                <w:rtl w:val="0"/>
              </w:rPr>
              <w:t xml:space="preserve">9.3.4. </w:t>
            </w:r>
            <w:r w:rsidR="00000000" w:rsidRPr="00000000" w:rsidDel="00000000">
              <w:rPr>
                <w:rtl w:val="0"/>
              </w:rPr>
              <w:t xml:space="preserve"> apakšpunktā</w:t>
            </w:r>
            <w:r w:rsidR="00000000" w:rsidRPr="00000000" w:rsidDel="00000000">
              <w:rPr>
                <w:rtl w:val="0"/>
              </w:rPr>
              <w:t xml:space="preserve"> minētais rādītājs tiek aprēķināts proporcionāli projekta iesniegumā norādītajai summai, bet ne mazāk kā 80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noteikumu 10., 10.</w:t>
            </w:r>
            <w:r w:rsidR="00000000" w:rsidRPr="00000000" w:rsidDel="00000000">
              <w:rPr>
                <w:vertAlign w:val="superscript"/>
                <w:rtl w:val="0"/>
              </w:rPr>
              <w:t xml:space="preserve">1</w:t>
            </w:r>
            <w:r w:rsidR="00000000" w:rsidRPr="00000000" w:rsidDel="00000000">
              <w:rPr>
                <w:rtl w:val="0"/>
              </w:rPr>
              <w:t xml:space="preserve"> un 73.</w:t>
            </w:r>
            <w:r w:rsidR="00000000" w:rsidRPr="00000000" w:rsidDel="00000000">
              <w:rPr>
                <w:vertAlign w:val="superscript"/>
                <w:rtl w:val="0"/>
              </w:rPr>
              <w:t xml:space="preserve">1</w:t>
            </w:r>
            <w:r w:rsidR="00000000" w:rsidRPr="00000000" w:rsidDel="00000000">
              <w:rPr>
                <w:rtl w:val="0"/>
              </w:rPr>
              <w:t xml:space="preserve"> punktos iekļautās atsauces uz MK noteikumu 9.punkta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44.2.6.1. kopējā pasniedzēju darba samaksa par darba stundām, kas nepārsniedz apmācību kursu ilgumu (tai skaitā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"pasniedzēja darba samaksa" aizvietošanu ar "mācību personāla darba samaksa", ņemot vērā, ka investīcijas ietvaros ir iesaistītas arī izglītības iestādes, kurās apmācību kursa izveidē un pasniegšanā tiek iesaistīti vairāki izglītības iestādes (arī 2.kārtas 2.uzsaukuma ietvaros) personāla speciālisti, ne tikai pasniedzējs.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mācību personāla darba samaksa par darba stundām, kas nepārsniedz apmācību kursu ilgumu (tai skaitā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06.03.2025.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06.03.2025.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