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Maksimāli pieļaujamā valsts budžeta izdevumu kopapjoma un  katrai ministrijai un citai centrālajai valsts iestādei paredzētā izdevumu kopējā apjoma noteikšanas kārtība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projektu ar jaunu punktu, paredzot, kādā formā tiek sniegta informācija pamatbudžeta bāzes projektam. Lai neveidotos situācija, ka ministrijām ir atšķirīga pieeja informācijas sagatavošanai un samazinātu tās apjomu, ierosinām izstrādāt vienotu veidlapu, piemēram, Vienotās valsts budžeta plānošanas un izpildes informācijas sistēmā. Turklāt, Finanšu ministrija, sagatavojot valsts pamatbudžeta bāzes aprēķinu, izmanto resursus no Vienotās valsts budžeta plānošanas un izpildes informācijas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Maksimāli pieļaujamais izdevumu kopapjoms valsts pamatbudžeta un valsts speciālā budžeta daļām valsts pamatfunkciju un Eiropas Savienības politikas instrumentu un pārējās ārvalstu finanšu palīdzības līdzfinansēto un finansēto projektu un pasākumu īstenošanai ietver: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papildu finansējums var būt piešķirts ne tikai prioritārajam pasākumam, bet,  piemēram, dalībai starptautiskajās misijās un operācijās, valsts robežas infrastruktūras izbūves nodrošināšanai, vienreizējām investīcijām augstas gatavības projektos, papildināt projekta 8.punktu ar jaunu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pamatbudžeta izdevumus citiem pasākumiem atbilstoši atsevišķiem Ministru kabineta pieņemtajiem  lēmumiem”.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9.3.9. izglītojamo skaits, atbilstoši kuram tiek nodrošināts finansējuma apmērs pedagogu darba samaksai un valsts sociālās apdrošināšanas obligātajām iemaksām un mācību līdzekļu un mācību grāmatu iegādei;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9.3.9. apakšpunktu ar vārdiem "vai studiju finansējums atbilstoši normatīvo aktu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izdevumos pabeigto no valsts budžeta finansēto kapitālo ieguldījumu uzturēšanai, ja finansējums kapitālo ieguldījumu veikšanai tika piešķirts kā finansējums prioritārajam pasākumam un ir terminēts;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9.5. apakšpunktu ar vārdiem “kā arī citu kapitālo ieguldījumu uzturēšanai, ja par to īstenošanu pieņemts atsevišķs Ministru kabineta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projekta anotāciju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atsevišķiem Ministru kabineta lēmumiem tiek atbalstīta  finansējuma piešķiršana vienreizējām investīcijām augstas gatavības projektos un citiem kapitālajiem ieguldījumiem (piemēram, depo būvniecība, informācijas tehnoloģijas un citi lieli kapitālieguldījumi), tādējādi nepieciešams paredzēt iespēju iesniegt izmaiņas bāzes izdevumos arī šāda veida kapitālo ieguldījumu uzturēšanai, piemēram saskaņā ar Ministru kabineta 2022. gada 3. maija sēdes prot. Nr.25, 30.§ 2. punktu ir atbalstīts Iekšlietu ministrijas priekšlikums par papildu nepieciešamo finansējumu vienreizējām investīcijām, kuru uzturēšanai turpmākajos gados būs nepieciešams papildu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 ar prioritārā pasākuma ieviešanu saistītās plānotās amata vietu skaita izmaiņas (+/–) pret n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32.9. apakšpunktu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plānoto amata vietu skaita izmaiņu rezultātā nemainās ministrijas resora kopējais amata vietu skaits, norāda budžeta programmu/apakšprogrammu, no kuras plānota amata vietu pārdale.”.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Ošiņa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Prioritārā pasākuma pieteikums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 pielikuma 10. punktā tekstu iekavās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plānoto amata vietu skaita izmaiņu rezultātā nemainās ministrijas resora kopējais amata vietu skaits, norāda budžeta programmu/apakšprogrammu, no kuras plānota amata vietu pārdale.”.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Ošiņa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03.04.2023.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03.04.2023.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Atzinumi_23-TA-500.docx</dc:title>
</cp:coreProperties>
</file>

<file path=docProps/custom.xml><?xml version="1.0" encoding="utf-8"?>
<Properties xmlns="http://schemas.openxmlformats.org/officeDocument/2006/custom-properties" xmlns:vt="http://schemas.openxmlformats.org/officeDocument/2006/docPropsVTypes"/>
</file>