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iesniedzējam vai sadarbības partnerim, kura pamatdarbība ir kultūras vai radošajā nozarē, uz projekta iesniegšanas dienu ir apstiprināta organizācijas darbības stratēģija, kurā noteikti vidēja termiņa darbības mērķi, kas liecina par sabiedrības ieguvumiem no projektā attīstītajiem pakalpojumiem, paredz veicināt kultūras pakalpojumu piekļūstamību, tostarp attīstot pakalpojumus vismaz vienai sociāli mazaizsargāto iedzīvotāju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Kultūras ministrijas skaidrojumu par Noteikumu projekta 29. punktu (iepriekš 27.punkts). Norādām, ka Ekonomikas ministrijas ieskatā Eiropas Savienības kohēzijas politikas programmas 2021. - 2027.gadam 4.3.2. specifiskā atbalsta mērķis “Kultūras un tūrisma lomas palielināšana ekonomiskajā attīstībā, sociālajā iekļaušanā un sociālajās inovācijās” nenosaka, ka projekta iesniedzēja vai sadarbības partnera pamatdarbība var būt tikai kultūras vai radošā nozare. Lūdzam skaidrot Kultūras ministriju, kāpēc, nodrošinot 4.3.2. SAM ietvaros paredzēto kultūras pakalpojumu attīstību un pieejamību mazāk aizsargātajām grupām, to nevarētu īstenot sadarbības partneris, kura pamatdarbība ir tūrisma nozarē. Arī praksē ir piemēri, kad pakalpojumu sniedzējs, kura pamatdarbība ir tūrisma nozarē, vienlaicīgi var piedāvāt ne tikai tūrisma, bet arī kultūras un kultūrvēstures pakalpojumus, īpaši, ja kultūras vai kultūrvēstures objekts jau atrodas starp tūrisma objektiem.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29.punktu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vai sadarbības partnerim, kura pamatdarbība ir kultūras, </w:t>
            </w:r>
            <w:r w:rsidR="00000000" w:rsidRPr="00000000" w:rsidDel="00000000">
              <w:rPr>
                <w:b w:val="1"/>
                <w:u w:val="single"/>
                <w:rtl w:val="0"/>
              </w:rPr>
              <w:t xml:space="preserve">tūrisma </w:t>
            </w:r>
            <w:r w:rsidR="00000000" w:rsidRPr="00000000" w:rsidDel="00000000">
              <w:rPr>
                <w:rtl w:val="0"/>
              </w:rPr>
              <w:t xml:space="preserve">vai radošajā nozarē, uz projekta iesniegšanas dienu ir apstiprināta organizācijas darbības stratēģija, kurā noteikti vidēja termiņa darbības mērķi, kas liecina par sabiedrības ieguvumiem no projektā attīstītajiem pakalpojumiem, paredz veicināt kultūras pakalpojumu piekļūstamību, tostarp attīstot pakalpojumus vismaz vienai sociāli mazaizsargāto iedzīvotāju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vai sadarbības partnerim, kura pamatdarbība ir kultūras, </w:t>
            </w:r>
            <w:r w:rsidR="00000000" w:rsidRPr="00000000" w:rsidDel="00000000">
              <w:rPr>
                <w:b w:val="1"/>
                <w:u w:val="single"/>
                <w:rtl w:val="0"/>
              </w:rPr>
              <w:t xml:space="preserve">tūrisma</w:t>
            </w:r>
            <w:r w:rsidR="00000000" w:rsidRPr="00000000" w:rsidDel="00000000">
              <w:rPr>
                <w:u w:val="single"/>
                <w:rtl w:val="0"/>
              </w:rPr>
              <w:t xml:space="preserve"> </w:t>
            </w:r>
            <w:r w:rsidR="00000000" w:rsidRPr="00000000" w:rsidDel="00000000">
              <w:rPr>
                <w:rtl w:val="0"/>
              </w:rPr>
              <w:t xml:space="preserve">vai radošajā nozarē, uz projekta iesniegšanas dienu ir apstiprināta organizācijas darbības stratēģija, kurā noteikti vidēja termiņa darbības mērķi, kas liecina par sabiedrības ieguvumiem no projektā attīstītajiem pakalpojumiem, paredz veicināt kultūras pakalpojumu piekļūstamību, tostarp attīstot pakalpojumus vismaz vienai sociāli mazaizsargāto iedzīvotāju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09.09.2024.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09.09.2024.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Atzinumi_24-TA-1502.docx</dc:title>
</cp:coreProperties>
</file>

<file path=docProps/custom.xml><?xml version="1.0" encoding="utf-8"?>
<Properties xmlns="http://schemas.openxmlformats.org/officeDocument/2006/custom-properties" xmlns:vt="http://schemas.openxmlformats.org/officeDocument/2006/docPropsVTypes"/>
</file>