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nevalstiskās organizācijas norādītas kā pasākuma mērķa grupa, lūdzam skaidrot kādu atbalstu, cik un kādām NVO plānots nodrošināt.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17,punkts), ka  anotācijā nav atspoguļota informācija par finansējuma sadalījumu konkrētiem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projekta īstenošanai var piesaistīt sadarbības partnerus – nozaru ministrijas, kuru politika ir saistīta ar pasākuma mērķa sasniegšanu (piemēram, Labklājības ministriju, Izglītības un zinātnes ministriju, Veselības ministriju u. c.), vai to padotības iestādes, pašvaldības un nevalstiskās organizācijas, kuru darbības joma ir saistīta ar pasākuma mērķa grupu interešu pārstāvniecību, kā arī darba devējus.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9.punktā norādīts, ka pašvaldības netiek iesaistītas kā mērķa grupa. Taču noteikumu projekta 13.punkts paredz, ka var tikt piesaistīti sadarbības partneri, vienlaikus 15.punkts paredz, ka sadarbības partnerim var tikt piešķirts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kādu pasākumu īstenošanā tiks iesaistītas pašvaldības vai to iestādes, vai plānots iesaistīt visas pašvaldības, vai aktivitātes potenciālajam projekta iesniedzējam jānodrošina visa reģiona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27.02.2024.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27.02.2024.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