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22-TA-1524: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Ieguldītāju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14.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14.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Banka var piemērot šādas sankcijas: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brīdinājumu;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publisku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naudas sodu;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izslēgt sistēmas dalībnieku no dalības ieguldītāju aizsardzības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Banka var piemērot šādu administratīvo pasākumu - pieprasīt, lai par pārkāpumu atbildīgā juridiskā persona izbeidz attiecīgo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Banka ir tiesīga šajā likumā noteiktās sankcijas vai administratīvos pasākumus piemērot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normatīvajos aktos noteiktās prasības iesniegt Latvijas Bankai kompensāciju izmaksas nodrošināšanai nepieciešamo informāciju neievērošanu;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prasības veikt maksājumus ieguldītāju aizsardzības sistēmai noteiktajā apmērā neievērošanu;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termiņa neievērošanu maksājumu veikšanai ieguldītāju aizsardzības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ir tiesīga piemērot naudas sodu: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0,05 procenti no naudas līdzekļu summas par katru nokavēto maksājuma dienu, kas noteiktajā termiņā nav iemaksātas ieguldītāju aizsardzības sistēmā. Naudas sods aprēķināms par laiku, par kuru sistēmas dalībnieks nav veicis tam aprēķināto maksājumu;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1000 līdz 10 000 euro par sistēmas dalībnieka pienākuma neizpildi sagatavot, apstrādāt un iesniegt Latvijas Bankai informāciju, kas nepieciešama kompensāciju izmaksu nodrošināšanai un informācijas administrēšanai.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Sistēmas dalībniekam ir pienākums aprēķināt un samaksāt šā panta ceturtās daļas 1. punktā minēto naudas sodu, ko veido maksājumi, kas noteiktajā termiņā nav veikti ieguldītāju aizsardzības sistēmā. Naudas sods iemaksājams kontā Latvijas Bankā.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dalībvalstī reģistrēts sistēmas dalībnieks nokavējis šā likuma 13. panta trešajā daļā noteikto maksājuma termiņu vairāk par 30 dienām, Latvijas Banka nekavējoties par to informē attiecīgā sistēmas dalībnieka uzraudzības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Par ieguldījumiem, kas veikti pirms sistēmas dalībnieka izslēgšanas no dalības sistēmā, kompensācija tiek aprēķināta un izmaksāta šajā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Publisks paziņojums ir paziņojums, kurā norādīta par pārkāpumu atbildīgā juridiskā persona un pārkāpuma būtība. Publisku paziņojumu var piemērot papildus šā panta pirmās daļas 1., 3. un 4. punktā minētajām sankcijām.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Latvijas Banka publisku paziņojumu ievieto savā tīmekļvietnē, norādot ziņas par pārkāpumu atbildīgo juridisko personu un tās izdarīto pārkāpumu. Publisks paziņojums Latvijas Bankas tīmekļvietnē pieejams piecus gadus no tā ievietošanas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Latvijas Bankai ir tiesības piemērot šā panta otrajā daļā minēto administratīvo pasākumu vienlaikus ar šā panta pirmajā daļā minētajām sankcijām.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Pārsūdzot Latvijas Bankas izdoto administratīvo aktu, pieteikumu iesniedz Administratīvajā apgabaltiesā. Tiesa lietu izskata kā pirmās instances tiesa. Lieta tiek izskatīta triju tiesnešu sastāvā. Administratīvās apgabaltiesas spriedumu var pārsūdzēt, iesniedzot kasācijas sūdzību.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Šā panta vienpadsmitajā daļā minētā administratīvā akta pārsūdzēšana, izņemot administratīvo aktu par naudas soda piemērošanu vai publisku paziņojumu, neaptur šā akta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14. pantā paredzēts piemērot sankcijas, tostarp tieši naudas sodu par prasības veikt maksājumus ieguldītāju aizsardzības sistēmai noteiktajā apmērā neievērošanu vai termiņu neievērošanu. Iepriekšējā Tieslietu ministrijas atzinumā bija norādīts, ka nav saprotams, kāpēc šajos gadījumos ir izvēlēta pieeja piemērot tieši naudas sodu, t. i. krimināltiesiska (sodoša) rakstura administratīvu sankciju.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norādīts, ka "naudas sods par maksājuma kavējumu iemaksājams Latvijas Bankai jeb ieguldītāju aizsardzības sistēmā. Minētais regulējums izstrādāts pēc analoģijas ar Noguldījumu garantiju likuma 15. panta piektajā daļā paredzēto attiecībā uz naudas soda iekasēšanu noguldījumu garantiju sistēmas ietvaros, tādējādi, izvairoties arī no papildu līdzekļu aizņemšanās riska."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skaidrots, ka "naudas sods 0,05 % apmērā noteikts, ņemot vērā vispārpieņemto praksi valsts pārvaldes institūciju regulējošajos tiesību aktos, piemēram Valsts ieņēmumu dienesta darbībā (likuma "Par nodokļiem un nodevām" 29. panta otrā daļa – "par nodokļu un nodevu maksājuma samaksas termiņa nokavējumu maksātājam tiek aprēķināta nokavējuma nauda – no laikā nenomaksātā pamatparāda 0,05 procenti par katru nokavēto dienu")". Tāpat ietverta atsauce uz Kredītiestāžu likuma 100.</w:t>
            </w:r>
            <w:r w:rsidR="00000000" w:rsidRPr="00000000" w:rsidDel="00000000">
              <w:rPr>
                <w:vertAlign w:val="superscript"/>
                <w:rtl w:val="0"/>
              </w:rPr>
              <w:t xml:space="preserve">1</w:t>
            </w:r>
            <w:r w:rsidR="00000000" w:rsidRPr="00000000" w:rsidDel="00000000">
              <w:rPr>
                <w:rtl w:val="0"/>
              </w:rPr>
              <w:t xml:space="preserve"> panta ceturto daļu un Finanšu un kapitāla tirgus komisijas likuma 25. panta pirmo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Neapšaubot šāda maksājuma piemērotību un nepieciešamību, tomēr pastāv jautājums par tā klasifikāciju, proti, atbilstību sankcijas (soda) pazīmēm. Augstākās tiesas Senāta Administratīvo lietu departaments vairākos spriedumos ir norādījis, ka nokavējuma naudai principā nav sodošs, bet budžetā savlaicīgi negūtos ieņēmumus kompensējošs raksturs. Tās ir papildu negatīvās sekas nodokļu maksātājam, un tieši kā atbildība par savlaicīgu pienākuma neizpildi (</w:t>
            </w:r>
            <w:r w:rsidR="00000000" w:rsidRPr="00000000" w:rsidDel="00000000">
              <w:rPr>
                <w:i w:val="1"/>
                <w:rtl w:val="0"/>
              </w:rPr>
              <w:t xml:space="preserve">Augstākās tiesas Senāta Administratīvo lietu departamenta 2011. gada 1. jūnija sprieduma lietā Nr. SKA-107/2011 15. punkts, Augstākās tiesas Senāta Administratīvo lietu departamenta 2013. gada 8. marta sprieduma lietā Nr. SKA-152/2013 7. punkts</w:t>
            </w:r>
            <w:r w:rsidR="00000000" w:rsidRPr="00000000" w:rsidDel="00000000">
              <w:rPr>
                <w:rtl w:val="0"/>
              </w:rPr>
              <w:t xml:space="preserve">). Arī Finanšu ministrijas sagatavotajā informatīvajā ziņojumā "Par nokavējuma naudas regulējuma efektivitāti praksē" (29.05.2018.) ir atkārtoti iepriekš minētie secinājumi, kā arī norādīts, ka nokavējuma nauda ir kā stimuls savlaicīgai aprēķināto nodokļu samaksai un tiek noteikta kā maksa par nodokļa summas lietojumu pēc tam, kad iestājies nodokļa samaksas pienākums. Tādējādi atšķirībā no soda naudas, nokavējuma nauda tomēr netiek uzskatīta par "soda sankcijas instrumentu".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Protams, nokavējuma naudas vai tai līdzīgu maksājumu mērķis nav vienīgais kritērijs, kas varētu liecināt par tās atbilstību soda pazīmēm. Jāņem vērā arī šā pasākuma bardzība.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no privātpersonas skatpunkta projektā paredzētais regulējums par šāda maksājuma soda raksturu, iespējams, būtu labvēlīgāks procesuālo garantiju aspektā, tomēr ir jāpievērš uzmanība visai tiesību sistēmai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atkārtoti izvērtēt, vai tiešām paredzētais grozāmā likuma 14. panta ceturtās daļas 1. punktā minētais maksājums ir atzīstams par sankciju jeb sodu. Šāds izvērtējums ne projekta anotācijā, ne izziņā nav atrodams. Tam, ka Noguldījumu garantiju likuma 15. panta piektajā daļā ir noteikts līdzīgs pasākums, pašam par sevi nav izšķirošas nozīmes.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22-TA-1524</w:t>
    </w:r>
    <w:r>
      <w:br/>
    </w:r>
    <w:r w:rsidR="00000000" w:rsidRPr="00000000" w:rsidDel="00000000">
      <w:rPr>
        <w:rtl w:val="0"/>
      </w:rPr>
      <w:t xml:space="preserve">Izdrukāts 14.03.2023. 12.48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22-TA-1524</w:t>
    </w:r>
    <w:r>
      <w:br/>
    </w:r>
    <w:r w:rsidR="00000000" w:rsidRPr="00000000" w:rsidDel="00000000">
      <w:rPr>
        <w:rtl w:val="0"/>
      </w:rPr>
      <w:t xml:space="preserve">Izdrukāts 14.03.2023. 12.48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Atzinumi_22-TA-1524.docx</dc:title>
</cp:coreProperties>
</file>

<file path=docProps/custom.xml><?xml version="1.0" encoding="utf-8"?>
<Properties xmlns="http://schemas.openxmlformats.org/officeDocument/2006/custom-properties" xmlns:vt="http://schemas.openxmlformats.org/officeDocument/2006/docPropsVTypes"/>
</file>