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7.pielikuma sadaļu attiecībā uz Kultūras ministrijas investīciju portfeli.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45"/>
              <w:gridCol w:w="2279"/>
              <w:tblGridChange w:id="0">
                <w:tblGrid>
                  <w:gridCol w:w="645"/>
                  <w:gridCol w:w="2279"/>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Kopējais finansējums, mlj.EUR</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Pārdale uz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strike w:val="1"/>
                      <w:rtl w:val="0"/>
                    </w:rPr>
                    <w:t xml:space="preserve">6,7</w:t>
                  </w:r>
                  <w:r w:rsidR="00000000" w:rsidRPr="00000000" w:rsidDel="00000000">
                    <w:rPr>
                      <w:sz w:val="24"/>
                      <w:rtl w:val="0"/>
                    </w:rPr>
                    <w:t xml:space="preserve"> 6,114147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strike w:val="1"/>
                      <w:rtl w:val="0"/>
                    </w:rPr>
                    <w:t xml:space="preserve">2,8</w:t>
                  </w:r>
                  <w:r w:rsidR="00000000" w:rsidRPr="00000000" w:rsidDel="00000000">
                    <w:rPr>
                      <w:sz w:val="24"/>
                      <w:rtl w:val="0"/>
                    </w:rPr>
                    <w:t xml:space="preserve"> 1,137477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Nacionālā Mākslas vidusskola  (4.2.1.6.pasākums)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strike w:val="1"/>
                      <w:rtl w:val="0"/>
                    </w:rPr>
                    <w:t xml:space="preserve">3,0</w:t>
                  </w:r>
                  <w:r w:rsidR="00000000" w:rsidRPr="00000000" w:rsidDel="00000000">
                    <w:rPr>
                      <w:sz w:val="24"/>
                      <w:rtl w:val="0"/>
                    </w:rPr>
                    <w:t xml:space="preserve"> 3,7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Daugavas gātes labiekārtošana (5.1.1.5.pasākums)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strike w:val="1"/>
                      <w:rtl w:val="0"/>
                    </w:rPr>
                    <w:t xml:space="preserve">0,9 </w:t>
                  </w:r>
                  <w:r w:rsidR="00000000" w:rsidRPr="00000000" w:rsidDel="00000000">
                    <w:rPr>
                      <w:sz w:val="24"/>
                      <w:rtl w:val="0"/>
                    </w:rPr>
                    <w:t xml:space="preserve">1,276670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Rīgas pils ekspozīcija (5.1.1.5.pasākums)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protokollēmumu papildināt ar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izvērtēt iespēju piemērot izņēmuma risinājumu, atbrīvojot elastības finansējumu 5.1.1.6. pasākuma ietvaros pirms 2026.gada, ņemot vērā Latvijas Pašvaldību savienības Eiropas Savienības fondu 2021.-2027.gada plānošanas perioda 5.politikas mērķa “Iedzīvotājiem tuvāka Eiropa” apakškomitejas 29.02.2024. sēdē sniegto viedokli, ka 5.1.1.6.pasākuma atlasei pieejamais finansējums pašvaldībās plānoto investīciju projektu īstenošanai ir nepietiekams.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protokollēmuma 3.1.punktu un informatīvā ziņojuma 7.pielikumu atļaut Kultūras ministrijai no valsts budžetā plānoto investīciju apmēru pārdalīt kultūras nozares izdevumiem. Kultūras ministrijai sagatavot pārdales priekšlikumus un iesniegt Finanšu ministrijā pēc  protokollēmuma 3.1.punktā minēto normatīvo aktu apstiprināšanas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07.12.2023. Ministru kabineta noteikumu Nr.720 "Grozījumi Ministru kabineta 2016. gada 29. marta noteikumos Nr. 188 "Darbības programmas "Izaugsme un nodarbinātība" 5.6.1. specifiskā atbalsta mērķa "Veicināt Rīgas pilsētas revitalizāciju, nodrošinot teritorijas efektīvu sociālekonomisko izmantošanu" īstenošanas noteikumi"" projekta Nr.5.6.1.0/17/I/005 “TabFab” pabeigšanu nodrošināt divos plānošanas periodos, otrā posma īstenošanu turpinot 2021.-2027. gada plānošanas periodā. Projekta otrā posma īstenošanai nepieciešamo ERAF finansējumu ir plānots nodrošināt no Izglītības un zinātnes ministrijas pārziņā esošā 4.2.1. specifiskā atbalsta mērķa “Uzlabot vienlīdzīgu piekļuvi iekļaujošiem un kvalitatīviem pakalpojumiem izglītības, apmācības un mūžizglītības jomā, attīstot pieejamu infrastruktūru, tostarp, veicinot noturību izglītošanā un apmācībā attālinātā un tiešsaistes režīmā” 4.2.1.8. pasākuma “Augstskolu studiju vides modernizācija”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ir informējis Kultūras ministriju, ka projekta pirmā posma I. un II. kārtas darbi, kas ietver arī plānoto 4.2.1.8. pasākuma projektu, tiks pabeigti jau 2024.gada maijā.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samazinātu posmoto projektu īstenošanas riskus, lūdzam atbildīgajām iestādēm maksimāli ātri izstrādāt pasākumu regulējošos Ministru kabineta noteikumus par tiem pasākumiem, kas saistīti ar posmotajiem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Marnica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