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slēdzot rakstisku sadarbības līgumu, var piesaistīt šādus sadarbības partnerus, ja to iesaiste ir pamatota un nepieciešama projekta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par Ventspils valstspilsētas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Noteikumu projektu 18. un 19. punktā norādīts, ka biedrību un nodibinājumu iesaiste kā projektu sadarbības partneriem, kas īstenos projekta darbības,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biedrību un nodibinājumu iesaiste projektu realizācijā būs atšķirīga katrā konkrētajā projektā, tomēr kopumā iesaiste ir nepieciešama un paredzama atbalstāmajās darbībās, kas norādītas Noteikuma projekta 34.3., 34.7. un 34.8. apakšpunktā. Mūsu partneru – nevalstisko organizāciju – līdzšinējā pieredze uzņēmējdarbības publiskās infrastruktūras  projektos liecina, ka pašvaldības, pašvaldību iestādes, kapitālsabiedrības pilda šos uzdevumus efektīvāk sadarbībā ar vietējiem partneriem no nevalstiskā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pašvaldībās komercdarbības veicināšanā un attīstībā nozīmīgu ieguldījumu sniedz biedrības un nodibinājumi, kas dibināti ar mērķi veicināt uzņēmējdarbību pašvaldībās, tādēļ rosinām papildināt Noteikumu projekta 27. punktu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nevalstiskās organizācijas (biedrības un nodibinājumi), kuras ir izveidotas ar mērķi veicināt uzņēmējdarbību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14.08.2023.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14.08.2023.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