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Stividorkompāniju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Ņav samērīgi pilnībā ierobežot gaisa emisijas radoša uzņēmuma darbību, pamatojoties uz 10. panta 2. punktā raksturoto grunts  vai augsnes piesārņojumu, kas nekādi nesummējas ar emisijām gaisā.  Šādās teritorijās uzņēmumam, kas rada emisijas gaisā, būtu daudz lietderīgāk atļaut veikt darbību, uzliekot par pienākumu veikt noteiktus samērīgus pasākumus grunts un gruntsūdeņu kvalitātes uzlabošanā savas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vairāk nekā 20 gadu ilgo pieredzi dažādu nozaru piesārņojošo darbības veidu atļauju sagatavošanā un attiecīgi ražošanas procesu un tehnoloģiju izvērtēšanā,  B kategorijas atļaujas izsniegšanas termiņš būtiski jāsaīsina.  Īpaši tas attiecas uz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paredzēt arī  vienreizējas darbības (īstermiņa) atļaujas neparedzamām īslaicīgām darbībām, piemēram, kuģa izkraušanai pie piestātnes, kurai nav atļaujas, vai esošajā atļaujā neiekļautas kravas vienreizēja izkraušana.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kategorijas piesārņojošas darbības objektā tiek veikta jaunu tehnisko paņēmienu (tehniskais paņēmiens, kas, ieviests ražošanā, var nodrošināt augstāku vispārējo vides aizsardzības līmeni vai vismaz tādu pašu vides aizsardzības līmeni un lielākus izmaksu ietaupījumus nekā pašreizējie labākie pieejamie tehniskie paņēmieni) izmēģināšana un izmantošana, Dienests var atļaujā noteikt pārejas periodu labāko pieejamo tehnisko paņēmienu un ar tiem saistīto emisijas līmeņu piemērošanai uz laiku, kas nepārsniedz deviņus mēnešus. Pēc noteiktā pārejas perioda operators nodrošina, ka šāda objekta radītā emisija atbilst ar labākajiem pieejamiem tehniskajiem paņēmieniem saistītajam emisijas līmenim. Ja emisija neatbilst ar labākajiem pieejamajiem tehniskajiem paņēmieniem saistītajam emisijas līmenim, tad operators pārtrauc jaunu tehnisko paņēmienu, produktu vai ražošanas procesu pētīšanu, izstrādi un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Inicējam 26. panta 2.daļas nosacījumus paredzēt piemērot arī B kategorijas uzņēmumiem, kuri ievieš inovatīvas tehnoloģijas vai iepriekš nozarē neizmantotus tehnoloģiskos procesus, attiecīgi izmainot 26. panta redakciju ar vārdiem "un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vai B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Štrodaha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20.06.2024.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20.06.2024.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