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24-TA-273: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Rīcības plāns "Cilvēkkapitāla attīstības stratēģija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iebildumu - papildināt rīcības virzienu "STEM izglītība un prasmes" pasākumu "Sniegts finansiāls stimuls augstskolām un koledžām..." ar papildinājumu "izglītības iestādēm, kas īsteno profesionālās pilnveides mācību programmas", nodrošinot vienlīdzīgus konkurences apstākļus un garantējot efektīvu cilvēkkapitāla attīstības pieaugušo izglītības risinājumu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devēju ieskatā nav pieļaujama konkurences kropļošana. Profesionālām mācību iestādēm ir ciešāka saikne ar darba devējiem un tās īsteno darba tirgū pieprasītas mācības. Augstskolas un koledžas ir akadēmiskāka vide. Pieejamos līdzekļus piedāvājam pārdalīt atbilstoši pieprasījumam tirgū, nevis dotēt darba devējiem neatbilstošas programmas, neatkarīgi no pieprasījuma.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atsauce izziņā uz to, ka pasākuma mērķa grupa ir noteikta ar MK 2024. gada 18. jūnija rīkojumu Nr. 502 "Par konceptuālo ziņojumu "Par augstākās izglītības institucionālo finansēšanu"" norāda uz darba devēju iepriekš norādīto fragmentārismu šajā dokumentā, kurā ir apkopota nevis stratēģiska rīcība cilvēkkapitāla attīstībai, bet esošo un fondu finansēto pasākumu apkopojums, kam var būt saistība ar cilvēkkapitāla attīstības jautājumiem. Vēršam uzmanību, ka cilvēkkapitāla jomā mērķa grupa ir iedzīvotāji, nevis izglītības iestādes, līdz ar to lūdzam novērst esošo pasākuma piedāvājumu, pēc būtības paplašinot tā jēgpilnu ietekmi uz cilvēkkapitāla attīstību.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norāda, ka EM 08.08.2024. sanāksmē ar ministriju un sociālo partneru pārstāvjiem, kuru vadīja EM  Cilvēkkapitāla attīstības departamenta direktors, tika panākta vienošanās par darba sanāksmes sasaukšanu par konceptuāliem iebildumiem attiecībā uz stratēģijas ietvaros definētajiem mērķiem, uzdevumiem un īstenošanu un EM pārstāvji piekrita šādas sanāksmes norisei pirms tālākas stratēģijas virzīšanas. Norādām, ka EM nav īstenojusi šo pasākumu un līdz ar to LDDK uztur iebildumus par Ekonomikas ministrijas priekšlikumu uztvert Stratēģiju kā atvērtu dokumentu, LDDK aicina turpmāk neveidot atvērtus dokumentus, ja tiem nav definēti KPI (īpaši, izmērāmi IKP atbilstoši EM uzstādītajam IKP dubultošanas mērķim), kā arī ja mērķi un uzdevumi nav sasaistīti ar pasākumiem un to KPI, kas veido sākotnēji sasniedzamo KPI kopsummu. Ja atvērtā stratēģija paredz diskusijas, tad norādām, ka 2023./2024.gadu diskusijas dažādās sadarbības grupās šobrīd rezultējušās ar ekonomikas stagnāciju, nevis izrāvienu, pat ņemot vērā, ka atsevišķi stratēģijā ietvertie pasākumi ir īstenošanā.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pēc būtības aicinām nodrošināt jēgpilna dokumenta un rīcības plāna konstruktīvu izstrādi.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iepriekš EM informēja, ka stratēģijā nav nepiešams iekļaut Ministru kabineta 2024.gada 7.maija sēdē uzdoto uzdevumu "Cilvēkkapitāla attīstības padomei izstrādāt un Ekonomikas ministrijai līdz 2024. gada 15. augustam iesniegt izskatīšanai Ministru kabinetā priekšlikumus koordinētai cilvēkkapitāla jautājumu pārvaldībai, sekmējot darbaspēka piedāvājuma pielāgošanos nākotnes darba tirgus vajadzībām un iekļaujot darba devēju viedokli, tai skaitā sniegt priekšlikumus konsolidētam (vienotam)  institucionālajam pārvaldības risinājumam, samazinot administratīvo slogu un nodrošinot publisko resursu lietderīgu izmantošanu, jo tā izpildes termiņš ir īsāks nekā stratēģijas plānotais apstiprināšanas termiņš, lūdzam Ekonomikas ministriju pievienot konkrētā uzdevuma izpildīto uzdevumu (priekšlikumus).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27.08.2024. 22.00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27.08.2024. 22.00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Atzinumi_24-TA-273.docx</dc:title>
</cp:coreProperties>
</file>

<file path=docProps/custom.xml><?xml version="1.0" encoding="utf-8"?>
<Properties xmlns="http://schemas.openxmlformats.org/officeDocument/2006/custom-properties" xmlns:vt="http://schemas.openxmlformats.org/officeDocument/2006/docPropsVTypes"/>
</file>