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 punkts noteic, ka, ja projekta kopējās izmaksas pārsniedz vienu miljonu </w:t>
            </w:r>
            <w:r w:rsidR="00000000" w:rsidRPr="00000000" w:rsidDel="00000000">
              <w:rPr>
                <w:i w:val="1"/>
                <w:rtl w:val="0"/>
              </w:rPr>
              <w:t xml:space="preserve">euro</w:t>
            </w:r>
            <w:r w:rsidR="00000000" w:rsidRPr="00000000" w:rsidDel="00000000">
              <w:rPr>
                <w:rtl w:val="0"/>
              </w:rPr>
              <w:t xml:space="preserve">, projekta iesniedzējs veic izmaksu un ieguvumu analīzi, kurai jāparāda, ka projekta kopējie ieguvumi un ietaupījumi ir lielāki par projekta investīcijām un darbības izmaksām visā projekta dzīves ciklā. Vienlaikus, noteikumu projekta anotācijā ir norādīts, ka primāri plānots virzīt ārkārtas prioritāros projektus, t.i. tādus projektus, kuru īstenošanas rezultātā jānodrošina ES regulējuma prasību izpildi, ja to neizpilde 2025. gadā var izraisīt soda sankcijas, vai projektus saskaņā ar valdības lēmumiem par ārkārtas pasākumu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informāciju ar skaidrojumu, kā veikt izmaksu un ieguvumu analīzi un pamatot, ka kopējie ieguvumi un ietaupījumi ir lielāki par projekta investīcijām, ja projekta īstenošanas rezultātā tiek nodrošināta ES regulējuma prasību 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12.41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12.41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