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w:t>
            </w:r>
            <w:r w:rsidR="00000000" w:rsidRPr="00000000" w:rsidDel="00000000">
              <w:rPr>
                <w:i w:val="1"/>
                <w:rtl w:val="0"/>
              </w:rPr>
              <w:t xml:space="preserve">euro</w:t>
            </w:r>
            <w:r w:rsidR="00000000" w:rsidRPr="00000000" w:rsidDel="00000000">
              <w:rPr>
                <w:rtl w:val="0"/>
              </w:rPr>
              <w:t xml:space="preserve">.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VI nodaļu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24. punkts paredz, ka izmaksas ir attiecināmas no 2023. gada 1. janvāra, un finansējuma saņēmējs ir valsts budžeta iestāde, lūdzam papildināt Ministru kabineta sēdes protokollēmuma projektu ar punktu, kas nosaka finanšu plūsmas pirms projekta apstiprināšanas nodrošināšanas nosacījumus, kā arī atbildīgās pienākumus un atbildību gadījumos, ja pirms projekta apstiprināšanas radušās izmaksas nav attiecināmas no Eiropas Savienības fondu līdzekļiem. Lūdzam atbilstoši pēc nepieciešamības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17.08.2023.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17.08.2023.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