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24-TA-904: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Noteikumi par aviācijas darbību dalību Eiropas Savienības emisijas kvotu tirdzniecības sistēmā un starptautiskās aviācijas oglekļa dioksīda kompensēšanas un samazināšanas shēmā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Satiksmes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24.02.2026.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24.02.2026.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56. Ja Eiropas Komisija ir pieņēmusi šo noteikumu </w:t>
            </w:r>
            <w:r w:rsidR="00000000" w:rsidRPr="00000000" w:rsidDel="00000000">
              <w:rPr>
                <w:rtl w:val="0"/>
              </w:rPr>
              <w:t xml:space="preserve">55. </w:t>
            </w:r>
            <w:r w:rsidR="00000000" w:rsidRPr="00000000" w:rsidDel="00000000">
              <w:rPr>
                <w:rtl w:val="0"/>
              </w:rPr>
              <w:t xml:space="preserve">punktā</w:t>
            </w:r>
            <w:r w:rsidR="00000000" w:rsidRPr="00000000" w:rsidDel="00000000">
              <w:rPr>
                <w:rtl w:val="0"/>
              </w:rPr>
              <w:t xml:space="preserve"> minēto lēmumu par gaisa kuģu darbības aizliegumu, Civilās aviācijas aģentūra nodrošina tā izpildi, piemērojot kādu no šādām iespējām: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atkārtoti izvērtēt nepieciešamību pēc noteikumu projekta 56. punkta. Ņemot vērā, ka, ja Eiropas Komisija pieņem lēmumu par trešās valsts gaisa kuģa operatora darbības aizliegumu, tad šādu gaisa kuģu operatoru gaisa  kuģu lidojumi Eiropas Savienības gaisa telpā nav iespējami, līdz ar ko valsts aģentūrai "Civilā aviācijas aģentūra" noteiktie uzdevumi zaudē nozīmību, turklāt likuma "Par piesārņojumu" 32.</w:t>
            </w:r>
            <w:r w:rsidR="00000000" w:rsidRPr="00000000" w:rsidDel="00000000">
              <w:rPr>
                <w:vertAlign w:val="superscript"/>
                <w:rtl w:val="0"/>
              </w:rPr>
              <w:t xml:space="preserve">34</w:t>
            </w:r>
            <w:r w:rsidR="00000000" w:rsidRPr="00000000" w:rsidDel="00000000">
              <w:rPr>
                <w:rtl w:val="0"/>
              </w:rPr>
              <w:t xml:space="preserve"> pants paredz, ka Civilās aviācijas aģentūra informē Eiropas Komisiju par visiem pasākumiem, kas veikti, lai izpildītu šo lēmumu, taču tie nevar būt pasākumi, kas dublē Eiropas Komisijas lēmumā iekļauto.</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Asnate Jozauska (SAM)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24-TA-904</w:t>
    </w:r>
    <w:r>
      <w:br/>
    </w:r>
    <w:r w:rsidR="00000000" w:rsidRPr="00000000" w:rsidDel="00000000">
      <w:rPr>
        <w:rtl w:val="0"/>
      </w:rPr>
      <w:t xml:space="preserve">Izdrukāts 24.02.2026. 19.21</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24-TA-904</w:t>
    </w:r>
    <w:r>
      <w:br/>
    </w:r>
    <w:r w:rsidR="00000000" w:rsidRPr="00000000" w:rsidDel="00000000">
      <w:rPr>
        <w:rtl w:val="0"/>
      </w:rPr>
      <w:t xml:space="preserve">Izdrukāts 24.02.2026. 19.21</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Atzinumi_24-TA-904.docx</dc:title>
</cp:coreProperties>
</file>

<file path=docProps/custom.xml><?xml version="1.0" encoding="utf-8"?>
<Properties xmlns="http://schemas.openxmlformats.org/officeDocument/2006/custom-properties" xmlns:vt="http://schemas.openxmlformats.org/officeDocument/2006/docPropsVTypes"/>
</file>