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programmas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8.1. apakšpunktā noteikto rādītāju nosaukumus atbilstoši Eiropas Savienības kohēzijas politikas programmā 2021.—2027. gadam noteiktajiem.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13 600 iedzīvotāji, kuriem ir padziļinātas digitālās pašapkalpošanās prasmes, tai skaitā par šo noteikumu 10. punktā minēto finansējumu – vismaz 11 454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400 nodarbinātas personas, tostarp pašnodarbinātas personas (personu skaits), tai skaitā par šo noteikumu 10. punktā minēto finansējumu – vismaz 337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8.2. punktu, atbilstoši Finanšu ministrijas vadlīnijās Nr. 1.4. “Vadlīnijas Ministru kabineta noteikumu par specifiskā atbalsta mērķa īstenošanu izstrādei Eiropas Savienības fondu 2021.—2027. gada plānošanas periodā” norādītajam, ka nacionālos rādītājus piemēro tikai tad, kad Eiropas Savienības kohēzijas politikas programmā 2021.—2027. gadam nav noteikti iznākuma un/vai rezultāta rādītāji, tādējādi mazinot noteiktās prasības un administratīvo slogu finansējuma saņēmējam, kas nav noteiktas kā obligātās prasības Eiropas Savienības un Latvijas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25.5.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un sadarbības partneris (ja attiecināms)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 zaļais publiskais iepirkums – un, kur tas ir attiecināms un atbilstošs ieguldījumu specifikai, īstenojams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28.punktu, aizstājot vārdus "Atbalstāma ir vides prasību integrācija'' ar vārdiem "Finansējuma saņēmējs un sadarbības partneris (ja attiecināms) izvērtē iespēju integrēt prasības", tādējādi samazinot noteiktās prasības un administratīvo slogu finansējuma saņēmējam, kas nav noteiktas kā obligātās prasības Eiropas Savienības un Latvijas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4.2.4.3. pasākuma ieviešanas modeli un izmaiņas ieviešanas nosacījumos, aicinām pārskatīt anotācijā sniegto informāciju attiecībā uz izmaksu un ieguvumu analīzi. Šis pasākums ir investīciju projekts ar skaidri definētiem mērķiem un precīzi noteiktu apmācāmo personu skaitu, un tā ieguvumi ir tieši saistīti ar digitālo prasmju paaugstināšanu un to tūlītēju pielietojumu sabiedrībā. Līdz ar to nav korekti to pielīdzināt vispārējās izglītības projektiem, kuru atdeve ir grūti kvantificējama un novērojama tikai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izmaksu un ieguvumu analīzei būtu jāpievēršas digitālo prasmju pieauguma ietekmei uz administratīvo efektivitāti, darba ražīgumu un pakalpojumu pieejamību, nevis tikai apmācīto skaitam kā gala rezultātam. Ieguvumu novērtējums var ietvert iedzīvotāju ietaupīto laiku, samazinātās izmaksas valsts un pašvaldību iestādēm, kā arī paaugstināto e-pakalpojumu lietojumu, kas ir kvantificējami rādītāji ar tiešu fiskālo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izmaksu un ieguvumu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apmācīti tiek 13 600 iedzīvotāji un katrs no viņiem vidēji gadā veic 5 administratīvas darbības, kas pēc apmācībām tiek pārceltas uz digitālo vidi, ietaupot vidēji 0.5 stundas katrā gadījumā, kopējais sabiedrības laika ietaupījums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13 600 × 5 × 0.5 = 34 000 stundas/gadā.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vidējās darba stundas vērtība ir 10 EUR, tad kopējais sabiedrības ietaupījums laika izteiksmē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34 000 × 10 = 340 000 EUR/gadā.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tikai viens no iespējamiem piemēriem, kas ilustrē, kā izmaksu un ieguvumu analīze varētu tikt veidota šajā atbalsta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konsultēties ar Centrālās finanšu un līgumu aģentūras speciālistiem par analīzes veikšanas praktisko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apzināts un noteikts apmācāmo Valsts un pašvaldības vienotais klientu apkalpošanas centru darbinieku skaits, t.i. 400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kad beidzas aktīvā apmācību fāze Atveseļošanas un noturības mehānisma (turpmāk – ANM) plāna 2.3.2.1.i. “Digitālās prasmes iedzīvotājiem t.sk. jauniešiem” investīcijas ietvaros, un kādi ir to rezultāti, t.i. apmācīto iedzīvotāju skaits, apmācīto mentoru skaits, un vai apmācītie mentori nepārklāsies ar plānotajiem VPKAC apmācāmiem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ņemot vērā izziņas 38.punkta sniegto informāciju, lūdzam papildināt anotāciju ar skaidrojumu, kādi ilgtspējas pasākumi tika iekļauti sadarbības līgumos ar pašvaldībām, un papildināt anotāciju ar izziņā ietverto informāciju par iemesliem, kāpēc pašvaldības, savu funkciju ietvaros, nevar nodrošināt ANM plāna 2.3.2.1.i. “Digitālās prasmes iedzīvotājiem t.sk. jauniešiem” investīcijā noteikto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pie ”Pasākumam pieejamais finansējums” norādīto informāciju, salāgojot to ar noteikumu projekta 9.punktā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(turpmāk – MK) protokollēmuma projektā punktu, kurš noteiktu Viedās administrācijas un reģionālās attīstības ministrijai informēt MK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 (Jeļena Luca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06.03.2025.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06.03.2025.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