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Pasākumu plānu atbalsta sniegšanai Ukrainas civiliedzīvotājiem Latvijas Republikā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lpp, </w:t>
            </w:r>
            <w:r w:rsidR="00000000" w:rsidRPr="00000000" w:rsidDel="00000000">
              <w:rPr>
                <w:i w:val="1"/>
                <w:rtl w:val="0"/>
              </w:rPr>
              <w:t xml:space="preserve">1.6. Vienotu valsts un pašvaldības sniegtā atbalsta koordinācijas punktu izveide un to darbības nodrošināšana, kas ietver fiziskas darba vietas nodrošināšanu pakalpojumu turētājiem to pakalpojumu sniegšanai Ukrainas civiliedzīvotājiem. Valsts un pašvaldību sniegtā atbalsta koordinācijas punkts nodrošina šādus pakalpojumus atbilstoši šajā plānā noteiktajam pakalpojumu turētāju un pakalpojumu grozam.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rīkojuma projekta pasākumu plāna atbalsta sniegšanai Ukrainas civiliedzīvotājiem Latvijas Republikā 2025. gadam 1.6. punktā minētam sakarā ar to, ka tajā nav iekļauta informācija par Ukrainas civiliedzīvotāju koordinatoru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pasākumu plāna atbalsta sniegšanai Ukrainas civiliedzīvotājiem Latvijas Republikā 2025. gadam 1.6.punktu: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Vienotu valsts un pašvaldības sniegtā atbalsta koordinācijas punktu izveide, to darbības nodrošināšana, kas ietver fiziskas darba vietas nodrošināšanu pakalpojumu turētājiem to pakalpojumu sniegšanai Ukrainas civiliedzīvotājiem </w:t>
            </w:r>
            <w:r w:rsidR="00000000" w:rsidRPr="00000000" w:rsidDel="00000000">
              <w:rPr>
                <w:i w:val="1"/>
                <w:u w:val="single"/>
                <w:rtl w:val="0"/>
              </w:rPr>
              <w:t xml:space="preserve">un Ukrainas civiliedzīvotāju koordinatoru piesaiste.</w:t>
            </w:r>
            <w:r w:rsidR="00000000" w:rsidRPr="00000000" w:rsidDel="00000000">
              <w:rPr>
                <w:i w:val="1"/>
                <w:rtl w:val="0"/>
              </w:rPr>
              <w:t xml:space="preserve"> Valsts un pašvaldību sniegtā atbalsta koordinācijas punkts nodrošina šādus pakalpojumus atbilstoši šajā plānā noteiktajam pakalpojumu turētāju un pakalpojumu grozam.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lpp, </w:t>
            </w:r>
            <w:r w:rsidR="00000000" w:rsidRPr="00000000" w:rsidDel="00000000">
              <w:rPr>
                <w:i w:val="1"/>
                <w:rtl w:val="0"/>
              </w:rPr>
              <w:t xml:space="preserve">3.3. Virsstundu darba vai papildu darba apmaksa bāriņtiesu un pašvaldības sociālo dienestu darbiniekiem.</w:t>
            </w:r>
            <w:r w:rsidR="00000000" w:rsidRPr="00000000" w:rsidDel="00000000">
              <w:rPr>
                <w:i w:val="1"/>
                <w:rtl w:val="0"/>
              </w:rPr>
              <w:t xml:space="preserve">Atbildīgā institūcija vai organizācija: Pašvaldības</w:t>
            </w:r>
            <w:r w:rsidR="00000000" w:rsidRPr="00000000" w:rsidDel="00000000">
              <w:rPr>
                <w:i w:val="1"/>
                <w:rtl w:val="0"/>
              </w:rPr>
              <w:t xml:space="preserve">Līdzatbildīgās institūcijas, komersanti: Labklājības ministrija,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projektā iekļaut, ka Labklājības ministrija un VARAM nosaka papildu darba apmaksas apmēru bāriņtiesu un pašvaldības sociālo dienestu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skaidrojam ar to, ka šobrīd bāriņtiesas un pašvaldību sociālie dienesti paši nosaka piemaksas par papildu darbu apmēru darbiniekiem, līdz ar to nepieciešams nodrošināt vienotu pieeju visās bāriņtiesās un pašvaldību sociālajos dienestos.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15.11.2024.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15.11.2024.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Atzinumi_24-TA-1551.docx</dc:title>
</cp:coreProperties>
</file>

<file path=docProps/custom.xml><?xml version="1.0" encoding="utf-8"?>
<Properties xmlns="http://schemas.openxmlformats.org/officeDocument/2006/custom-properties" xmlns:vt="http://schemas.openxmlformats.org/officeDocument/2006/docPropsVTypes"/>
</file>