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zvejas licences turētājiem un zvejas kuģu kapteiņiem piemēro Eiropas Savienības tiesību aktos par kopējās zivsaimniecības politiku noteikto soda punktu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apakšsadaļā esošo informāciju atbilstoši aktuālajam noteikumu projekta 13. punktam, proti, svītrot palīgteikumu "kuras tiesības vadīt zvejas kuģi ir apturētas vai anulētas" un labot atsauci uz atbilstošo Regulas Nr. 1224/2009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09.03.2026.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09.03.2026.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Atzinumi_25-TA-1986.docx</dc:title>
</cp:coreProperties>
</file>

<file path=docProps/custom.xml><?xml version="1.0" encoding="utf-8"?>
<Properties xmlns="http://schemas.openxmlformats.org/officeDocument/2006/custom-properties" xmlns:vt="http://schemas.openxmlformats.org/officeDocument/2006/docPropsVTypes"/>
</file>