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ietverto informāciju, nodrošinot atbilstību ar noteikumu projektā paredzētajiem grozījumiem, vai precizēt noteikumu projektu. Piemēram, anotācijā norādīts, ka "</w:t>
            </w:r>
            <w:r w:rsidR="00000000" w:rsidRPr="00000000" w:rsidDel="00000000">
              <w:rPr>
                <w:i w:val="1"/>
                <w:rtl w:val="0"/>
              </w:rPr>
              <w:t xml:space="preserve">ar noteikumu projektā ietvertajiem grozījumiem tiek precizēts MK noteikumu Nr.432 10.punkts, precizējot finansējuma apjomu projekta Nr. 7.1.1.2.i.0/1/24/I/CFLA/001 īstenošanai, un 4.2.4. apakšpunkts, nosakot, ka sasniedzamais mērķa rādītājs ir pabeigta esošo elektroenerģijas sadales sistēmas gaisvadu līniju </w:t>
            </w:r>
            <w:r w:rsidR="00000000" w:rsidRPr="00000000" w:rsidDel="00000000">
              <w:rPr>
                <w:i w:val="1"/>
                <w:u w:val="single"/>
                <w:rtl w:val="0"/>
              </w:rPr>
              <w:t xml:space="preserve">pārbūve</w:t>
            </w:r>
            <w:r w:rsidR="00000000" w:rsidRPr="00000000" w:rsidDel="00000000">
              <w:rPr>
                <w:i w:val="1"/>
                <w:rtl w:val="0"/>
              </w:rPr>
              <w:t xml:space="preserve"> par elektroenerģijas sadales sistēmas kabeļlīnijām 190 kilometru garumā</w:t>
            </w:r>
            <w:r w:rsidR="00000000" w:rsidRPr="00000000" w:rsidDel="00000000">
              <w:rPr>
                <w:rtl w:val="0"/>
              </w:rPr>
              <w:t xml:space="preserve">", tomēr minētais precīzi neatbilst noteikumu projektā noteiktajam atskaites punktam. Citastarp norādām, ka arī ar Ministru kabineta 2025. gada 13. novembra rīkojumu Nr. 728 "Par Latvijas Atveseļošanas un noturības mehānisma plāna trešo papildinājumu" apstiprinātais Latvijas Atveseļošanas un noturības mehānisma plāna trešais papildinājums noteic: "</w:t>
            </w:r>
            <w:r w:rsidR="00000000" w:rsidRPr="00000000" w:rsidDel="00000000">
              <w:rPr>
                <w:i w:val="1"/>
                <w:rtl w:val="0"/>
              </w:rPr>
              <w:t xml:space="preserve">Priekšlikuma īstenošana dos iespēju papildus </w:t>
            </w:r>
            <w:r w:rsidR="00000000" w:rsidRPr="00000000" w:rsidDel="00000000">
              <w:rPr>
                <w:i w:val="1"/>
                <w:u w:val="single"/>
                <w:rtl w:val="0"/>
              </w:rPr>
              <w:t xml:space="preserve">pārbūvēt vēl 40 km elektroenerģijas sadales sistēmas gaisvadu līnijas par elektroenerģijas sadales sistēmas kabeļlīnijām</w:t>
            </w:r>
            <w:r w:rsidR="00000000" w:rsidRPr="00000000" w:rsidDel="00000000">
              <w:rPr>
                <w:i w:val="1"/>
                <w:rtl w:val="0"/>
              </w:rPr>
              <w:t xml:space="preserve">, tādejādi kopumā sasniedzot plānoto Nr.226</w:t>
            </w:r>
            <w:r w:rsidR="00000000" w:rsidRPr="00000000" w:rsidDel="00000000">
              <w:rPr>
                <w:rtl w:val="0"/>
              </w:rPr>
              <w:t xml:space="preserve">.</w:t>
            </w:r>
            <w:r w:rsidR="00000000" w:rsidRPr="00000000" w:rsidDel="00000000">
              <w:rPr>
                <w:i w:val="1"/>
                <w:rtl w:val="0"/>
              </w:rPr>
              <w:t xml:space="preserve"> "Gaisvadu elektroenerģijas tīkls" lielākā apmērā jeb 190 km.</w:t>
            </w:r>
            <w:r w:rsidR="00000000" w:rsidRPr="00000000" w:rsidDel="00000000">
              <w:rPr>
                <w:rtl w:val="0"/>
              </w:rPr>
              <w:t xml:space="preserve">" Attiecīgi aicinām precizēt noteikumu projektu vai anotāciju. Aicinām pārskatīt arī skaidrojumus par citiem noteikumu projektā paredzētajiem grozījumiem noteikumu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noteikumu projektu pirms Eiropas Komisijas lēmuma par Padomes 2021. gada 13. jūlija Īstenošanas lēmuma par Latvijas atveseļošanas un noturības plāna novērtējuma apstiprināšanu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grozījumu, kuru izdarīšanai vēl nav saņemts apstiprinājums no Eiropas Komisijas, virzīt apstiprināšanai Ministru kabinetā pēc tam, kad attiecīgs Eiropas Komisijas apstiprinājums tiks saņemts, tādējādi arī izvairoties no vairākkārtējas tiesiskā regulējuma grozīšanas un iespējamas tiesiskā regulējuma nestabilitātes veicināšanas, vai anotācijā izvērstāk pamatot šāda risinājuma izvēli un atbilstību Latvijas starptautiskajām saistībām.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18.12.2025.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18.12.2025.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Atzinumi_25-TA-2507.docx</dc:title>
</cp:coreProperties>
</file>

<file path=docProps/custom.xml><?xml version="1.0" encoding="utf-8"?>
<Properties xmlns="http://schemas.openxmlformats.org/officeDocument/2006/custom-properties" xmlns:vt="http://schemas.openxmlformats.org/officeDocument/2006/docPropsVTypes"/>
</file>