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22-TA-1524: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Ieguldītāju aizsardzības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V nodaļu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V nodaļa</w:t>
            </w:r>
            <w:r w:rsidR="00000000" w:rsidRPr="00000000" w:rsidDel="00000000">
              <w:rPr>
                <w:b w:val="1"/>
                <w:rtl w:val="0"/>
              </w:rPr>
              <w:t xml:space="preserve">Atbildība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20. 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Latvijas Banka var piemērot šādas sankcijas: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brīdinājumu;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publisku paziņojumu;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naudas sodu;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izslēgt sistēmas dalībnieku no dalības ieguldītāju aizsardzības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Latvijas Banka var piemērot šādu administratīvo pasākumu - pieprasīt, lai par pārkāpumu atbildīgā juridiskā persona izbeidz attiecīgo rīcību.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Latvijas Banka ir tiesīga piemērot šā panta pirmās daļas 1., 2. un 4. punktā noteiktās sankcijas un šā panta otrajā daļā noteikto administratīvo pasākumu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normatīvajos aktos noteiktās prasības sagatavot, apstrādāt un iesniegt Latvijas Bankai kompensāciju izmaksas nodrošināšanai un informācijas administrēšanai nepieciešamo informāciju neievērošanu;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prasības veikt maksājumus ieguldītāju aizsardzības sistēmai noteiktajā apmērā neievērošanu;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termiņa neievērošanu maksājumu veikšanai ieguldītāju aizsardzības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Latvijas Banka ir tiesīga piemērot naudas sodu no 1000 līdz 10 000 euro par sistēmas dalībnieka pienākuma neizpildi sagatavot, apstrādāt un iesniegt Latvijas Bankai informāciju, kas nepieciešama kompensāciju izmaksu nodrošināšanai un informācijas administrēšanai.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Publisks paziņojums ir paziņojums, kurā norādīta par pārkāpumu atbildīgā juridiskā persona un pārkāpuma būtība. Publisku paziņojumu var piemērot papildus šā panta pirmās daļas 1., 3. un 4. punktā minētajām sankcijām.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Latvijas Bankai ir tiesības piemērot šā panta otrajā daļā minēto administratīvo pasākumu vienlaikus ar šā panta pirmajā daļā minētajām sankcijām.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21. pants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Latvijas Banka ir tiesīga ierosināt lietu ne vēlāk kā piecu gadu laikā no pārkāpuma izdarīšanas dienas, bet, ja pārkāpums ir ilgstošs, — no pārkāpuma izbeigšanas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panta pirmajā daļā noteiktā noilguma termiņa skaitīšanu aptur ar lietas ierosināšanas dienu.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Lēmumu par šajā likumā noteikto sankciju un administratīvo pasākumu piemērošanu Latvijas Banka var pieņemt divu gadu laikā no lietas ierosināšanas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Latvijas Banka izbeidz lietu, ja šā panta trešajā daļā noteiktajā termiņā nav pieņemts lēmums par šajā likumā noteikto sankciju un administratīvo pasākumu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Pārsūdzot Latvijas Bankas izdoto administratīvo aktu, pieteikumu iesniedz Administratīvajā apgabaltiesā. Tiesa lietu izskata kā pirmās instances tiesa. Lieta tiek izskatīta triju tiesnešu sastāvā. Administratīvās apgabaltiesas spriedumu var pārsūdzēt, iesniedzot kasācijas sūdzību.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Šā panta piektajā daļā minētā administratīvā akta pārsūdzēšana, izņemot administratīvo aktu par naudas soda piemērošanu vai publisku paziņojumu, neaptur šā akta darbību.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22. 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Latvijas Banka informāciju par sankcijām un administratīvo pasākumu, kas piemēroti par pārkāpumu atbildīgajām juridiskajām personām, pēc tam, kad tā ir paziņota adresātam, ievieto savā tīmekļvietnē, norādot ziņas par personu un tās izdarīto pārkāpumu, kā arī par Latvijas Bankas izdotā administratīvā akta pārsūdzēšanu un pieņemto nolēmumu.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Latvijas Banka šā panta pirmajā daļā minēto informāciju ievieto tīmekļvietnē, neidentificējot juridisko personu, ja konstatē, ka juridiskās personas datu atklāšana, kurai piemērota sankcija vai administratīvais pasākums, nav samērīga vai arī juridiskās personas datu atklāšana var apdraudēt finanšu tirgus stabilitāti, uzsākta kriminālprocesa norisi vai radīt nesamērīgu kaitējumu iesaistītajām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Latvijas Bankas tīmekļvietnē ievietotā informācija ir pieejama piecus gadus no tās ievietošanas dienas.”.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Aicinām pārskatīt iekšējo atsauču lietojumu projektā paredzētajā grozāmā likuma V nodaļā. Atsauce ir līdzeklis, kā saīsināt un vienkāršot likuma tekstu, jo, izmantojot atsauces, nav jāraksta viss jau reiz uzrakstītais teksts pilnībā. Vienlaikus jāatceras, ka atsauces ir jālieto saprātīgi un pamatoti, jo to pārmērīga lietošana var sarežģīt likuma satura uztveri. Iekšējā atsauce sasaista paša likuma normas, lai nebūtu atkārtoti jāraksta viens un tas pats regulējums vairākās vietās (</w:t>
            </w:r>
            <w:r w:rsidR="00000000" w:rsidRPr="00000000" w:rsidDel="00000000">
              <w:rPr>
                <w:i w:val="1"/>
                <w:rtl w:val="0"/>
              </w:rPr>
              <w:t xml:space="preserve">Normatīvo aktu projektu izstrādes rokasgrāmata, https://tai.mk.gov.lv/book/1/chapter/98</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projektā ir skaidri saprotams, ko ietver sankcijas un administratīvi pasākumi, tad nav nepieciešams katru reizi norādīt, kurā likuma vienībā sankcijas vai administratīvais pasākums ir minēts.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Aicinām projektā paredzētajā grozāmā likuma V nodaļā izmantot vienveidīgas un standartizētas vārdiskās izteiksmes, lai apzīmētu vienu un to pašu lietu (Ministru kabineta 2009. gada 3. februāra noteikumu Nr. 108 "Normatīvo aktu projektu sagatavošanas noteikumi" 2.3. apakšpunkts). Piemēram, vārdkopas "var piemērot" nozīme, domājams, ir tāda pati kā vārdkopai "ir tiesīga piemērot".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Sandis Vilcāns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22-TA-1524</w:t>
    </w:r>
    <w:r>
      <w:br/>
    </w:r>
    <w:r w:rsidR="00000000" w:rsidRPr="00000000" w:rsidDel="00000000">
      <w:rPr>
        <w:rtl w:val="0"/>
      </w:rPr>
      <w:t xml:space="preserve">Izdrukāts 25.07.2023. 12.54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22-TA-1524</w:t>
    </w:r>
    <w:r>
      <w:br/>
    </w:r>
    <w:r w:rsidR="00000000" w:rsidRPr="00000000" w:rsidDel="00000000">
      <w:rPr>
        <w:rtl w:val="0"/>
      </w:rPr>
      <w:t xml:space="preserve">Izdrukāts 25.07.2023. 12.54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Atzinumi_22-TA-1524.docx</dc:title>
</cp:coreProperties>
</file>

<file path=docProps/custom.xml><?xml version="1.0" encoding="utf-8"?>
<Properties xmlns="http://schemas.openxmlformats.org/officeDocument/2006/custom-properties" xmlns:vt="http://schemas.openxmlformats.org/officeDocument/2006/docPropsVTypes"/>
</file>