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skaidrībai aicinām papildināt informatīvā ziņojuma 18.lapu par iespējām projektu īstenošanu pabeigt arī pēc 2023. gada atbilstoši iepriekš sniegtajiem vadošās iestādes skaidrojumiem, ka 2024.gadā par finansējuma saņēmēja pašu līdzekļiem pabeigtais projekts nav uzskatāms par nefunkcionējošu.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projektu ir iespējams pilnībā pabeigt līdz 2024.gada beigām un pēc 2023.gada 31.decembra radušos izdevumus projektā sedz pats projekta īstenotājs par saviem līdzekļiem, tad šādu projektu var neuzskatīt par nefunkcionējošu un līdz ar darbības programmas “Izaugsme un nodarbinātība”  noslēguma dokumentāciju noziņot Eiropas Komisijai kā pilnībā pabeigtu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Marnica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27.03.2023.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27.03.2023.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Atzinumi_23-TA-407.docx</dc:title>
</cp:coreProperties>
</file>

<file path=docProps/custom.xml><?xml version="1.0" encoding="utf-8"?>
<Properties xmlns="http://schemas.openxmlformats.org/officeDocument/2006/custom-properties" xmlns:vt="http://schemas.openxmlformats.org/officeDocument/2006/docPropsVTypes"/>
</file>