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4.3.4. specifiskā atbalsta mērķa “Sekmēt aktīvu iekļaušanu, lai veicinātu vienlīdzīgas iespējas, nediskriminēšanu un aktīvu līdzdalību, kā arī uzlabotu nodarbināmību, jo īpaši attiecībā uz nelabvēlīgā situācijā esošām grupām” 4.3.4.2. pasākuma “Atbalsta pasākumi vienlīdzīgu iespēju un nediskriminācijas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4.3.4. specifiskā atbalsta mērķa “Sekmēt aktīvu iekļaušanu, lai veicinātu vienlīdzīgas iespējas, nediskriminēšanu un aktīvu līdzdalību, kā arī uzlabotu nodarbināmību, jo īpaši attiecībā uz nelabvēlīgā situācijā esošām grupām” 4.3.4.2. pasākuma “Atbalsta pasākumi vienlīdzīgu iespēju un nediskriminācijas veicināšanai”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pasākuma nosaukumu atbilstoši Eiropas Savienības kohēzijas politikas programmā 2021.–2027.gadam un tās pielikumos norādītājam: "Atbalsta pasākumi diskriminācijas riskam pakļautajām sabiedrības grupām vienlīdzīgu iespēju un tiesību realizēšanai dažādās dzīves jomās", tādējādi arī mazinot pārpratumu risku par šī pasākuma dublēšanos ar 4.3.4.1. pasākumu "Vienlīdzīgu iespēju un nediskriminācijas veicināšana". Vienlaicīgi veikt labojumus arī noteikumu 1.1. apakšpunktā, anotācijā un citos saistītos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Futraka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attiecīgu izvērtējumu komercdarbības atbalsta kontekstā, lai ir skaidrs, vai finansējums netiek kvalificēts kā atbalsts finansējuma saņēmēja saimnieciskai darbībai un attiecīgi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secināts, ka atbalsts ir kvalificējams kā komercdarbības atbalsts, lūdzam papildināt noteikumus ar attiecīgiem komercdarbības nosacījumiem, savukārt, ja tiek secināts, ka programmas ietvaros komercdarbības atbalsts netiek piešķirts, lūdzam papildināt noteikumus ar normu, kas nosaka, ka programmas ietvaros netiek plānots atbalsts tādām projekta īstenotāja darbībām, kurām atbalsts būtu kvalificējams kā komercdarbības atbalsts atbilstoši Komercdarbības atbalsta kontroles likuma 5.pantam. Ja projekta īstenotājs vienlaikus veic gan programmā atbalstāmās darbības, gan saimnieciskās darbības, kam būtu jāpiemēro komercdarbības atbalsta nosacījumi saskaņā ar Komercdarbības atbalsta kontroles likumu, projekta īstenotājs nodrošina šo darbību nodalīšanu.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pasākuma ietvaros ir biedrība vai nodibinājums, kas pārstāv šo noteikumu 3. punktā minēto mērķa grupas personu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FM metodikas Nr. 3.1 "Eiropas Reģionālās attīstības fonda, Eiropas Sociālā fonda plus, Kohēzijas fonda un Taisnīgas pārkārtošanās fonda projektu iesniegumu atlases metodika 2021.–2027.gadam" 2. pielikumā noteiktais vienotais kritērijs Nr.1 par projekta iesniedzēja atbilstību un tā piemērošanas skaidrojums ir vispārīgs un attiecināts pret MK noteikumiem nevis anotāciju, lai projektu iesniegumu vērtēšanas procesā varētu konstatēt, ka projekta iesniedzējs atbilst MK noteikumos noteiktajam iesniedzēju lokam un attiecīgajām izvirzītajām prasībām, lūdzam MK noteikumos ietvert jau anotācijā pieminēto projekta iesniedzēja atbilstības konstatēšanas pieeju, proti, ka atbilstība tiks vērtēta pret to statūtos norādīto darbības mērķi. Vienlaikus aicinām punktu papildināt ar vārdu "reģistrēta" (ar to saprotot - reģistrēta LR UR Biedrību un nodibinājumu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14. punktu šādā redakcijā: "Projekta iesniedzējs pasākuma ietvaros ir reģistrēta biedrība vai nodibinājums, kas saskaņā ar tās statūtiem pārstāv šo noteikumu 3. punktā minēto mērķa grupas personu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Futraka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kura projekta iesniegums ir apstiprināts, ir finansējuma saņēmējs. Finansējuma saņēmējs ir atbildīgs par projekta īstenošanu un pasākuma uzraudzības rādītāju un mērķa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finansējuma saņēmējs jeb projekta īstenotājs nevar būt atbildīgs par visu pasākuma uzraudzības rādītāju sasniegšanu (pasākuma rādītāji tiks sasniegti ar vairākiem projektiem), turklāt finansējuma saņēmēja atbildība par projekta īstenošanu un tā mērķa un rādītāju sasniegšanu izriet no līguma par projekta īstenošanu, tādēļ no 15. punkta aicinām dzēst teikumu "Finansējuma saņēmējs ir atbildīgs par projekta īstenošanu un pasākuma uzraudzības rādītāju un mērķa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Futraka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projekta vadība un tā īstenošanas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30.11.2023. fondu apakškomitejas sēdes laikā diskutēto uz potenciāli iespējamu risku par finansējuma saņēmēja (NVO) projekta vadības un īstenošanas personāla atlīdzības izmaksām un ņemot vērā, ka lielā daļā NVO esot tikai 1 (viens) nodarbinātais un lielā daļā NVO darbība notiekot uz brīvprātības principa, lūgums sniegt informāciju, kā tiks nodrošināta projekta vadība un īstenošana gadījumos, kur nav NVO nodarbināto? Lūdzam skaidrot anotācijā, vai plānots projekta vadību un īstenošanu iepirkt kā ārpakalpojumu.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ietvaros plāno šādas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53.panta 2.punktam, projektos līdz 200 000 EUR (ieskaitot) visām izmaksām jābūt segtām, piemērojot vienkāršotās izmaksas. Lūdzam veikt atbilstošus precizējumus Ministru kabineta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18.2. apakšpunktā minētās pārējās attiecināmās izmaksas finansējuma saņēmējs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56. panta 1. punktu plāno kā vienu izmaksu pozīciju 40 procentu apmērā no šo noteikumu 18. punktā minētajām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MK noteikumu projekta 18.1 apakšpunktu, jo atbilstoši anotācijā noteiktajam pārējās attiecināmās izmaksas, ko finansējuma saņēmējs plāno kā vienu izmaksu pozīciju 40 procentu apmērā, atbilstoši vadošās iestādes vadlīnijām Nr.1.1., 27.4.apakšpunktam ir noteikts, ka 40% rēķina no tiešajām attiecināmajām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18.2. apakšpunktā minētās pārējās attiecināmās izmaksas finansējuma saņēmējs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56. panta 1. punktu plāno kā vienu izmaksu pozīciju 40 procentu apmērā no šo noteikumu 18. punktā minētajām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kādas izmaksas ir plānots segt ar 40% vienoto likmi, lai skaidri saprotams, kādas izmaksas ietilpst pārējās projekta izmaksās.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22. punktā minētos starpposma maksājumus sadarbības iestāde veic arī laikposmā, kad finansējuma saņēmējs izmanto saņemtā avansa maksājumu. Finansējuma saņēmējs avansa pieprasījumu sagatavo un sadarbības iestāde to apstiprina, ņemot vērā nosacījumu, ka plānotā avansa apmērs atbilst iespējai to izlietot sešu mēnešu laikā saimnieciskā gada ietvaros. Finansējuma saņēmējam avansu sadarbības iestāde var piešķirt līdz 30 procentiem no projekta apstiprinātā kopējā attiecināmā finansējuma, ievērojot, ka avansu var izmaksāt vairākos maksājumos.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noteikumu projekta 23.punktā izvērtēt prasības nepieciešamību avansu izlietot saimnieciskā gada ietvaros, ņemot vērā, ka finansējuma saņēmēji būs biedrības un nodibinājumi.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Indrāne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un projekta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punktu, kur ir noteikts konkrēts SAM/pasākuma īstenošanas termiņš un tas nepārsniedz attiecināmības perioda beigu termiņu - 2029.gada 31.decembri.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17.1. apakšpunktā minētās atbalstāmās darbības ietvaros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atbalstāmās darbības atbilstoši Eiropas Savienības kohēzijas politikas programma 2021.–2027.gadam (Programmā) norādītajam, t.i. "</w:t>
            </w:r>
            <w:r w:rsidR="00000000" w:rsidRPr="00000000" w:rsidDel="00000000">
              <w:rPr>
                <w:i w:val="1"/>
                <w:rtl w:val="0"/>
              </w:rPr>
              <w:t xml:space="preserve">Atbalstāmās darbības: Diskriminācijas RP sabiedrības grupām vienlīdzīgu iespēju un tiesību realizēšanai dažādās dzīves jomās </w:t>
            </w:r>
            <w:r w:rsidR="00000000" w:rsidRPr="00000000" w:rsidDel="00000000">
              <w:rPr>
                <w:b w:val="1"/>
                <w:i w:val="1"/>
                <w:rtl w:val="0"/>
              </w:rPr>
              <w:t xml:space="preserve">plānoti pasākumi un pakalpojumi</w:t>
            </w:r>
            <w:r w:rsidR="00000000" w:rsidRPr="00000000" w:rsidDel="00000000">
              <w:rPr>
                <w:i w:val="1"/>
                <w:rtl w:val="0"/>
              </w:rPr>
              <w:t xml:space="preserve">, kas veicinātu</w:t>
            </w:r>
            <w:r w:rsidR="00000000" w:rsidRPr="00000000" w:rsidDel="00000000">
              <w:rPr>
                <w:b w:val="1"/>
                <w:i w:val="1"/>
                <w:rtl w:val="0"/>
              </w:rPr>
              <w:t xml:space="preserve"> </w:t>
            </w:r>
            <w:r w:rsidR="00000000" w:rsidRPr="00000000" w:rsidDel="00000000">
              <w:rPr>
                <w:i w:val="1"/>
                <w:rtl w:val="0"/>
              </w:rPr>
              <w:t xml:space="preserve">aktivitātes dzimumu segregācijas mazināšanai izglītībā un DT, personu ar invaliditāti un FT pilnvērtīgas dzīves nodrošināšanai, personām virs 50 gadu vecuma u.c. grupām sociālās iekļaušanas veicināšanai un sociālās atstumtības mazināšanai.</w:t>
            </w:r>
            <w:r w:rsidR="00000000" w:rsidRPr="00000000" w:rsidDel="00000000">
              <w:rPr>
                <w:rtl w:val="0"/>
              </w:rPr>
              <w:t xml:space="preserve">" Šobrīd noteikumu projekta redakcijā un anotācijā  neredzam darbības vai ievirzi, kas būtu vērstas uz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 uzkrāj, uzskaita un iesniedz sadarbības iestādē apkopotus datus par atbalstu saņēmušām šo noteikumu 3. punktā minētajām mērķa grupas personām atbilstoši Eiropas Parlamenta un Padomes 2021. gada 24. jūnija regulas (ES) Nr. 2021/1057, ar ko izveido Eiropas Sociālo fondu Plus (ESF+) un atceļ Regulu (ES) Nr. 1296/2013 1. pielikumam un saskaņā ar normatīvajiem aktiem, kas nosaka kārtību, kādā tiek veiktas pārbaude Eiropas Savienības fondu projektos 2021.—2027. gada plānošanas periodā, 1.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24.1.apakšpunktā minētos atbalsta pasākumu veidus, ierosinām papildināt 25.10. apakšpunktu, nosakot, ka datus uzkrāj par mērķa grupas personām, kas piedalījušās atbalsta pasākumā, kurš ilgst vairāk nekā astoņas stundas. (Līdzīgi kā 28.11.2023. MK noteikumos Nr.694 par 4.1.2.1.pasākuma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Indrāne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 vai finansējuma saņēmējs (biedrība vai nodibinājums, kurš pasākumā jau īsteno projektu) drīkst iesniegt projekta iesniegumu, kā arī potenciāli var saņemt finansējumu kādā no nākamajām kārtām, proti, vai pieļaujama situācija, kad vienai organizācijai īstenošanā vienlaikus ir divi vai pat vairāki pasākuma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anotāciju ar skaidrojumu, kā šādā gadījumā tiks uzskaitīts iznākuma rādītājs – biedrības un nodibinājumi, kuri saņēmuši atbalstu - uzskaitot īstenotos projektus vai tomēr skaitot </w:t>
            </w:r>
            <w:r w:rsidR="00000000" w:rsidRPr="00000000" w:rsidDel="00000000">
              <w:rPr>
                <w:u w:val="single"/>
                <w:rtl w:val="0"/>
              </w:rPr>
              <w:t xml:space="preserve">unikālās</w:t>
            </w:r>
            <w:r w:rsidR="00000000" w:rsidRPr="00000000" w:rsidDel="00000000">
              <w:rPr>
                <w:rtl w:val="0"/>
              </w:rPr>
              <w:t xml:space="preserve"> NVO, proti, pieskaitot NVO tikai vienu reizi, kaut tā īsteno 2 vai vairākus pasākuma projektus.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Futraka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Projektu iesniegumu atlases kārtu izsludina par ne vairāk kā 1 860 666 </w:t>
            </w:r>
            <w:r w:rsidR="00000000" w:rsidRPr="00000000" w:rsidDel="00000000">
              <w:rPr>
                <w:i w:val="1"/>
                <w:rtl w:val="0"/>
              </w:rPr>
              <w:t xml:space="preserve">euro</w:t>
            </w:r>
            <w:r w:rsidR="00000000" w:rsidRPr="00000000" w:rsidDel="00000000">
              <w:rPr>
                <w:rtl w:val="0"/>
              </w:rPr>
              <w:t xml:space="preserve">, tai skaitā Eiropas Sociālā fonda plus finansējumu – 1 581 566 </w:t>
            </w:r>
            <w:r w:rsidR="00000000" w:rsidRPr="00000000" w:rsidDel="00000000">
              <w:rPr>
                <w:i w:val="1"/>
                <w:rtl w:val="0"/>
              </w:rPr>
              <w:t xml:space="preserve">euro</w:t>
            </w:r>
            <w:r w:rsidR="00000000" w:rsidRPr="00000000" w:rsidDel="00000000">
              <w:rPr>
                <w:rtl w:val="0"/>
              </w:rPr>
              <w:t xml:space="preserve"> un valsts budžeta finansējumu – 279 100 </w:t>
            </w:r>
            <w:r w:rsidR="00000000" w:rsidRPr="00000000" w:rsidDel="00000000">
              <w:rPr>
                <w:i w:val="1"/>
                <w:rtl w:val="0"/>
              </w:rPr>
              <w:t xml:space="preserve">euro</w:t>
            </w:r>
            <w:r w:rsidR="00000000" w:rsidRPr="00000000" w:rsidDel="00000000">
              <w:rPr>
                <w:rtl w:val="0"/>
              </w:rPr>
              <w:t xml:space="preserve">. Ja attiecīgajā projektu iesniegumu atlasē neapstiprina projektu iesniegumus par visu projektu iesniegumu atlases kārtai pieejamo kopējo attiecināmo finansējumu, finansējuma atlikums tiek pārplānots nākamajām projektu iesniegumu atlases kārtām.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9. punktu papildināt ar informāciju par kādu summu izsludina pirmo kārtu. Ja ir domāts, ka katru atlases kārtu (sanāk 3 kārtas) izsludina par norādīto finansējuma apmēru, tad no kopējā pieejamā finansējuma, tai skaitā ESF+ finansējuma, paliek pāri 2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Futraka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Maksimālais attiecināmais Eiropas Sociālā fonda plus finansējuma apmērs nepārsniedz 85 procentus no projekta kopējā attiecināmā finansējuma, bet valsts budžeta finansējums nepārsniedz 15 procentus no projekta kopējā attiecināmā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projekta 10.punkta beigu daļu, jo maksimālā ESF+ finansējuma intensitāte ir 85 % no projektam plānotā kopējā attiecināmā finansējuma un nacionālais </w:t>
            </w:r>
            <w:r w:rsidR="00000000" w:rsidRPr="00000000" w:rsidDel="00000000">
              <w:rPr>
                <w:b w:val="1"/>
                <w:rtl w:val="0"/>
              </w:rPr>
              <w:t xml:space="preserve">līdz</w:t>
            </w:r>
            <w:r w:rsidR="00000000" w:rsidRPr="00000000" w:rsidDel="00000000">
              <w:rPr>
                <w:rtl w:val="0"/>
              </w:rPr>
              <w:t xml:space="preserve">finansējums nav mazāks par 15 % no projektam plānotā kopējā attiecināmā finansējuma. (Skat. piedāvāto redakciju). Attiecīgi lūdzam precizēt arī anotācijas  sadaļas "3. Tiesību akta projekta ietekme uz valsts budžetu un pašvaldību budžetiem" 6.punktu "Detalizēts ieņēmumu un izdevumu aprēķins".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Eiropas Sociālā fonda Plus finansējuma apmērs nepārsniedz 85 %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ietvaros plāno šādas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ka noteikumu projektā norādīti tādu izmaksu pozīciju veidi kā: tiešās attiecināmās, netiešās attiecināmās, informācija par vienkāršoto izmaksu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Pievienotās vērtības nodoklis, kas tiešā veidā saistīts ar projektu, uzskatāms par attiecināmām izmaksām saskaņā ar regulas Nr. 2021/1060 64. panta 1. punkta “c” apakšpunktā ietvertajiem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skaidrāk atrunāt (ņemot vērā, ka finansējuma saņēmēji būs NVO), ka projektiem, kuru kopējās izmaksas (ieskaitot PVN) ir mazākas par 5 milj. EUR (ieskaitot PVN), PVN izmaksas ir attiecināmas. Vienlaikus gadījumos, kad finansējuma saņēmējs ir komercdarbības atbalsta (t.sk. de minimis) saņēmējs PVN tiešajām attiecināmajām izmaksām var tikt attiecināms tikai tādā gadījumā, ja tas nav atgūstams atbilstoši normatīvajiem aktiem nodokļu politikas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Pievienotās vērtības nodoklis, kas tiešā veidā saistīts ar projektu, uzskatāms par attiecināmām izmaksām saskaņā ar regulas Nr. 2021/1060 64. panta 1. punkta “c” apakšpunktā ietvertajiem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informāciju, ka tiks nodrošināts dubultā finansējuma novēršanas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17.1. apakšpunktā minētās atbalstāmās darbības ietvaros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pasākuma mērķa sasniegšanai tiek pieļauti visai plaša spektra jeb veidu atbalsta pasākumi, un vienlaikus nepieciešams radīt maksimāli tiešāko ietekmi uz pasākuma mērķa sasniegšanu, kuru būtu iespējams veidot caur norādīto mērķa grupu iesaisti (nevis plašāku sabiedrību un problēmsituāciju ietekmējošām norisēm, piemēram kas nedaudz tiek veikts 4.3.4.1. pasākumā), aicinām 24. punktu papildināt ar jaunu apakšpunktu, tajā vēršot uzmanību uz vēlamajiem </w:t>
            </w:r>
            <w:r w:rsidR="00000000" w:rsidRPr="00000000" w:rsidDel="00000000">
              <w:rPr>
                <w:u w:val="single"/>
                <w:rtl w:val="0"/>
              </w:rPr>
              <w:t xml:space="preserve">atbalsta pasākumu mērķiem</w:t>
            </w:r>
            <w:r w:rsidR="00000000" w:rsidRPr="00000000" w:rsidDel="00000000">
              <w:rPr>
                <w:rtl w:val="0"/>
              </w:rPr>
              <w:t xml:space="preserve"> (saturu un būtību), piemēros nosakot anotācijā jau pieminētos atbalsta pasākumu mērķus, proti, veicināt sociālās atstumtības un diskriminācijas riskam pakļauto personu izpratni un zināšanas par iespējamajiem diskriminācijas riskiem un to atpazīšanu, aktivizēt šo personu rīcībspēju, kā arī spēju un motivāciju apzināties savas problēmas, risināt tās un mainīt līdzšinējo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 šo punktu būtu iespējams izvērtēt īstenoto atbalsta pasākumu kvalitatīvo atbilstību, efektivitāti un reālo ietekmi uz mērķa grupu personu dzīves kvalitāti un labbūtību un pasākuma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nodrošina, ka atbalsta pasākumi tiecas sasniegt piemēram šādus (bet ne tikai) mērķus: veicināt šo noteikumu 3. punktā minēto mērķa grupas personu izpratni un zināšanas par iespējamajiem diskriminācijas riskiem un to atpazīšanu, aktivizēt šo personu rīcībspēju, kā arī veicināt spēju un motivāciju apzināties savas problēmas, risināt tās un mainīt līdzšinējo situāciju.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Futraka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nodrošina, ka atbalsta pasākumi ietver mērķa grupas personām aktuālu tēmu loku, tai skaitā, nediskriminācija un vienlīdzīgu iespēju veicināšana dažādās dzīves jomās, vides un pakalpojumu piekļūstamības veicināšana, sabiedrībā valdošo stereotipu mazināšana par diskriminācijas riskam pakļautajām personu grupām, cieņpilnas attieksmes, tolerances, iecietības un dažādības veicināšana, pašapziņas celšana, cilvēktiesību ievērošanas un naida runas mazināšana.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šī 24.2.apakšpunkta redakcija ir atbilstoša noteikumu 3.punktam (</w:t>
            </w:r>
            <w:r w:rsidR="00000000" w:rsidRPr="00000000" w:rsidDel="00000000">
              <w:rPr>
                <w:b w:val="1"/>
                <w:rtl w:val="0"/>
              </w:rPr>
              <w:t xml:space="preserve">mērķa grupa ir personas, kuras paļautas sociālās atstumtības riskam</w:t>
            </w:r>
            <w:r w:rsidR="00000000" w:rsidRPr="00000000" w:rsidDel="00000000">
              <w:rPr>
                <w:rtl w:val="0"/>
              </w:rPr>
              <w:t xml:space="preserve"> diskriminācijas invaliditātes, vecuma, dzimuma, etniskās piederības, reliģiskās pārliecības un seksuālās orientācijas dēļ) un 17.1.apakšpunktam (atbalsta pasākumu īstenošana šo noteikumu 3. punktā minētajām mērķa grupas personām vienlīdzīgu iespēju un tiesību realizēšanai dažādās dzīves jomās), t.i., vērtēt, vai 24.2.punkts nerada neatbilstoši veikto izdevumu risku. Lasām, ka 24.2.apakšpunktā norādītās tēmas atspoguļo sabiedrībā pastāvošās problēmas </w:t>
            </w:r>
            <w:r w:rsidR="00000000" w:rsidRPr="00000000" w:rsidDel="00000000">
              <w:rPr>
                <w:b w:val="1"/>
                <w:rtl w:val="0"/>
              </w:rPr>
              <w:t xml:space="preserve">pret riska grupām</w:t>
            </w:r>
            <w:r w:rsidR="00000000" w:rsidRPr="00000000" w:rsidDel="00000000">
              <w:rPr>
                <w:rtl w:val="0"/>
              </w:rPr>
              <w:t xml:space="preserve"> un būtu adresējamas sabiedrībai kopumā. Tomēr šobrīd 24.2. apakšpunktu nolasām kā tādu, kas tiek adresētas risku grupām (piemēram, mērķa grupai pret kurām vērsta naida runa tiek ietverta tēma kā mērķa grupai mazināt naida runu) jeb saprotamāk un vienkāršā izsakoties – šeit saskatām zināmu neloģiskumu, ka persona, kura tiek diskriminēta tiks iesaistīta pasākumos par tēmām kā nediskriminēt. Drīzāk kā nediskriminēt un kā vienlīdzīgi iesaistīt būtu aktuāla tēma sabiedrībai kopumā nevis pašai diskriminētajai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nodrošina, ka informācija par projektā paredzētajiem atbalsta pasākumiem ir piekļūstama vietējai sabiedrībai;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paskaidrot, kas tieši domāts ar vārdiem "vietējā sabiedrība", minot piemērus ar uzsvaru uz ģeogrāfiskajiem mērogiem, ko aptver "vietējais", ņemot vērā, ka vārdi "vietējā sabiedrība" informācijas piekļūstamības kontekstā ir ietverti arī Projekta iesnieguma vērtēšanas kritēriju piemērošanas metodikas (kas ir būtisks dokuments projektu vērtēšanai) projektā un arī tajā nav sniegts plašāks skaidrojums.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Futraka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25.4.2. parakstījuši apliecinājumus par interešu konflikta neesību saskaņā ar Eiropas Parlamenta un Padomes 2018. gada 18. jūlija Regulas (ES, Euratom) Nr. 2018/1046 par finanšu noteikumiem, ko piemēro Savienības vispārējam budžetam, ar kuru groza Regulas (ES) Nr. 1296/2013, (ES) 1301/2013, (ES) Nr. 1303/2013, (ES) Nr. 1304/2013, (ES) Nr. 1309/2013, (ES) Nr. 1316/2013, (ES) Nr. 223/2014, (ES) Nr. 283/2014 un Lēmumu Nr. 541/2014/ES un atceļ Regulu (ES, Euratom) Nr. 966/2012, 61. pantu un publisko iepirkumu regulējošajiem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projektu iesniedzēju juridisko formu (privāto tiesību subjekts) un plānotās darbības (nav paredzēts sniegt finansiālu atbalstu tālāk galasaņēmējiem), tiem ir saistoša Eiropas Parlamenta un Padomes 2018. gada 18. jūlija Regula (ES, Euratom) Nr. 2018/1046 par finanšu noteikumiem, ko piemēro Savienības vispārējam budžetam, ar kuru groza Regulas (ES) Nr. 1296/2013, (ES) 1301/2013, (ES) Nr. 1303/2013, (ES) Nr. 1304/2013, (ES) Nr. 1309/2013, (ES) Nr. 1316/2013, (ES) Nr. 223/2014, (ES) Nr. 283/2014 un Lēmumu Nr. 541/2014/ES un atceļ Regulu (ES, Euratom) Nr. 966/2012 un publiskos iepirkumus regulējošie normatīvie akti, jo pēc būtības biedrībām un nodibinājumiem jāveic iepirkumi saskaņā ar Ministru kabineta 2017. gada 28. februāra </w:t>
            </w:r>
            <w:r w:rsidR="00000000" w:rsidRPr="00000000" w:rsidDel="00000000">
              <w:rPr>
                <w:b w:val="1"/>
                <w:rtl w:val="0"/>
              </w:rPr>
              <w:t xml:space="preserve">noteikumiem Nr. 104</w:t>
            </w:r>
            <w:r w:rsidR="00000000" w:rsidRPr="00000000" w:rsidDel="00000000">
              <w:rPr>
                <w:rtl w:val="0"/>
              </w:rPr>
              <w:t xml:space="preserve"> "Noteikumi par iepirkuma procedūru un tās piemērošanas kārtību pasūtītāja finansētiem projektiem", un to ietvaros finansējuma saņēmējs paraksta interešu konflikta apliecinājumu, un projekta vadības un īstenošanas personālam nav nepieciešams parakstīt interešu konflikta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interešu konflikta apliecinājuma parakstīšana tiešām ir nepieciešama iepirkumu līgumu izpildītājiem.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Apsverot šādu un līdzīgu prasību noteikšanu finansējuma saņēmējam (biedrībai vai nodibinājumam), ņemot vērā to darbības specifiku, aicinām pārliecināties, vai tas nerada nesamērīgu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anotācijā precizēt pēdējo rindkopu 8.2. punktā "Cita informācija", to salāgojot ar prasībām, kas ir atbilstošas biedrībām un nodibinājumiem).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Futraka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nodrošina, ka šajos noteikumos paredzētās atbalstāmās darbības un projektā sniegtais atbalsts šo noteikumu 3. punktā minētajām mērķa grupas personām netiek finansēts vai līdzfinansēts, kā arī to nav plānots finansēt vai līdzfinansēt no citiem valsts, pašvaldības vai ārvalstu finanšu atbalsta instrumentiem un nodrošina dubultā finansējuma neiestāšanos;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normu, kas paredz, ka finansējuma saņēmējs uzņemas segt sadārdzinājumu.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 šo noteikumu 17.1. apakšpunktā minētās atbalstāmās darbības īstenošanas un maksājuma pieprasījumu sagatavošanas nolūkā, saskaņā ar normatīvajiem aktiem, kas nosaka Eiropas Savienības fondu projektu pārbaužu veikšanas kārtību 2021.—2027. gada plānošanas periodā, veic šo noteikumu 3. punktā minēto mērķa grupas personu atbilstības pārbaudi iesaistei šo noteikumu 24. punktā minētajos atbalsta pasākumos, kā arī veic minēto personu identificēšanu un uzskaiti, norādot vārdu, uzvārdu, personas kodu, atzīmi par diskriminācijas riska pamatu un citu personas datus nesaturošu informāciju, kas nepieciešama maksājuma pieprasījuma sagatavošanai.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25.9. apakšpunktā norādi uz normatīvajiem aktiem, kas nosaka Eiropas Savienības fondu projektu pārbaužu veikšanas kārtību 2021.—2027. gada plānošanas periodā. Vēršam uzmanību, ka attiecīgajos Ministru kabineta 2023. gada 23. marta noteikumos Nr. 135 "Eiropas Savienības fondu projektu pārbaužu veikšanas kārtība 2021.–2027. gada plānošanas periodā" nav noteikta kārtība, kādā veic mērķa grupas personu atbilstības pārbaudi un personu identificēšanu un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lūdzam papildināt anotāciju ar skaidrojumu, kādā veidā (piemēram, IT sistēmā, vai veicot noteiktu dokumentu pārbaudi u.c.) finansējuma saņēmējs pārbaudīs mērķa grupas dalībnieka (fiziskas personas) atbilstību dalībai attiecīgās atlases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Projektu iesniegumu atlases kārtas ietvaros projektu īsteno ne ilgāk par 18 mēnešiem no dienas, kad noslēgts līgums ar sadarbības iestādi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26. punktu ir plānots attiecināt uz visām atlases kārtām, tad būtu lietderīgi šo punktu papildināt ar informāciju par pieļaujamo projektu īstenošanas gala termiņu, piemēram, "bet ne ilgāk kā līdz 2028. gada 31. decembrim" (saskaņā ar anotācijā pieminēto indikatīvo projektu  īstenošanas termiņu) vai "bet ne ilgāk kā līdz 2029. gada 31. decembrim" (programmas un pasākuma rādītāju sasniegšanas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Futraka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un anotācijā iekļaut informācija par sinerģiju, papildinātību ar ES un citiem atbalsta instrumentiem, piemēram, Atveseļošanas un noturības mehānisma investīcijām, norādot, kā tiks nodrošināta demarkācija un dubultfinansējuma riska novēršana gadījumos, kad no dažādiem finanšu avotiem tiks atbalstītas vienas un tās pašas atbalstāmās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 punkta "Pašreizējā situācija, problēmas un risinājumi" sadaļā "Risinājuma apraksts" pie informācijas par attiecināmajām izmaksām papildināt, ka pārējās attiecināmās izmaksas ietver arī netiešās attiecināmās izmaksas. Aicinājums izriet no bažām par to, ka biedrības un nodibinājumi, iespējams, nav labi pazīstami ar ES fondu finansēšanas pieeju, tai skaitā var nepārzināt Finanšu ministrijas vadlīnijas Nr. 1.1. "Vadlīnijas par vienkāršoto izmaksu izmantošanas iespējām un to piemērošana Eiropas Savienības kohēzijas politikas programmas 2021.–2027.gadam ietvaros", tādēļ būtu lietderīgi precizēt, ka netiešās izmaksas drīkst būt iekļautas pārējās izmaksās un tās netiek plānotas papildus vai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Futraka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norādot, kurā Finanšu ministrijas pamatbudžeta apakšprogrammā tiks plānots finansējums noteikumu projektā paredzēto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anotācijas 3.sadaļas 6.punktam finansējums plānots no 2024.gada 3.ceturkšņa, savukārt 3.sadaļas tabulas 3.ailē norādīta ietekme 2023.gadam, nepieciešams precizēt anotācijas 3.sadaļas tabulas 1., 2., 3. un 5.punkta un 1.1., 2.1. un 3.1.apakšpunkta 3., 5., 7. un 8.ailē norādīto informāciju. Vienlaikus lūdzam aizpildīt 5.1.apakšpunkta 5., 7. un 8.aili.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6.punktu, norādot, ka par projektam nepieciešamo finansējumu 2025.gadam un turpmākajiem gadiem FM iesniegs priekšlikumu attiecīgā likumprojekta par valsts budžetu kārtējam gadam un vidēja termiņa budžeta ietvaru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8.1.9.sadaļas aprakstu ar informāciju, vai plānotajām investīcijām būs tieša, netieša, vai nebūs ietekmes uz horizontālajiem principiem (HP): “Vienlīdzība, iekļaušana, nediskriminācija un pamattiesību ievērošana”; “Klimatdrošināšana”; “Energoefektivitāte pirmajā vietā”;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pārvērtēt anotācijas 8.1.9.sadaļas šī brīža redakcijas aprakstu, ņemot vērā tādus aspektus, kā: 1) finansējuma saņēmējs būs NVO; 2) lielai daļai NVO var nebūt tīmekļa vietnes 3) vai iespējama projekta vadības un īstenošanas personāla atlase, ja lielā daļā NVO esot tikai 1 (viens) nodarbinātais un lielā daļā NVO darbība notiekot uz brīvprātības principa. Kā liecina Latvijas Pilsoniskās alianses (LPA) NVO sektora monitorings 2023.gadā - NVO sektorā samazinās nodarbināto skaits. Ja 2018. gadā tas bija 29,6 tūkstoši, tad 2022. gadā 21,9 tūkstoši (samazinājums par 7,7 tūkst. personu). Pie tam lai gan kopējais nodarbināto personu skaits ir šķietami liels, tomēr tie tiek nodarbināti nelielā daļā no visām biedrībām. Tikai 21% biedrību ir vismaz viens nodarbinātais, kamēr 79% nenodarbina nevienu.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23-TA-2761</w:t>
    </w:r>
    <w:r>
      <w:br/>
    </w:r>
    <w:r w:rsidR="00000000" w:rsidRPr="00000000" w:rsidDel="00000000">
      <w:rPr>
        <w:rtl w:val="0"/>
      </w:rPr>
      <w:t xml:space="preserve">Izdrukāts 13.12.2023. 08.37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23-TA-2761</w:t>
    </w:r>
    <w:r>
      <w:br/>
    </w:r>
    <w:r w:rsidR="00000000" w:rsidRPr="00000000" w:rsidDel="00000000">
      <w:rPr>
        <w:rtl w:val="0"/>
      </w:rPr>
      <w:t xml:space="preserve">Izdrukāts 13.12.2023. 08.37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Atzinumi_23-TA-2761.docx</dc:title>
</cp:coreProperties>
</file>

<file path=docProps/custom.xml><?xml version="1.0" encoding="utf-8"?>
<Properties xmlns="http://schemas.openxmlformats.org/officeDocument/2006/custom-properties" xmlns:vt="http://schemas.openxmlformats.org/officeDocument/2006/docPropsVTypes"/>
</file>