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24. februāra noteikumos Nr. 108 "Kārtība, kādā uzrauga un izvērtē Eiropas Savienības struktūrfondu un Kohēzijas fonda ieviešanu, kā arī izveido un izmanto Kohēzijas politikas fondu vadības informācijas sistēmu 2014.–2020.gadam"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22.10.2024. 23.17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22.10.2024. 23.17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Atzinumi_24-TA-1924.docx</dc:title>
</cp:coreProperties>
</file>

<file path=docProps/custom.xml><?xml version="1.0" encoding="utf-8"?>
<Properties xmlns="http://schemas.openxmlformats.org/officeDocument/2006/custom-properties" xmlns:vt="http://schemas.openxmlformats.org/officeDocument/2006/docPropsVTypes"/>
</file>