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Noguldījumu garantiju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papildināt otro daļu ar vārdiem “vai šo personu var identificēt pirms noguldījumu nepieejamības iestāšanās dienas”;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skaidrot, ar ko atšķiras likumprojekta 2. pantā piedāvātā grozījuma papildināt likuma 5. panta otro daļu ar ar vārdiem “</w:t>
            </w:r>
            <w:r w:rsidR="00000000" w:rsidRPr="00000000" w:rsidDel="00000000">
              <w:rPr>
                <w:u w:val="single"/>
                <w:rtl w:val="0"/>
              </w:rPr>
              <w:t xml:space="preserve">vai šo personu var identificēt pirms noguldījumu nepieejamības iestāšanās dienas</w:t>
            </w:r>
            <w:r w:rsidR="00000000" w:rsidRPr="00000000" w:rsidDel="00000000">
              <w:rPr>
                <w:rtl w:val="0"/>
              </w:rPr>
              <w:t xml:space="preserve">” tvērums no šobrīd spēkā esošās normas, kas paredz, ka garantēto atlīdzību ir tiesības saņemt šai personai, kura var pierādīt savas prasījuma tiesības uz noguldītāja pārvaldītajiem līdzekļiem </w:t>
            </w:r>
            <w:r w:rsidR="00000000" w:rsidRPr="00000000" w:rsidDel="00000000">
              <w:rPr>
                <w:u w:val="single"/>
                <w:rtl w:val="0"/>
              </w:rPr>
              <w:t xml:space="preserve">ar nosacījumu, ka noguldījumu piesaistītājs šo personu ir identificējis pirms noguldījumu nepieejamības iestāšanās dienas.</w:t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Bērziņš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23-TA-2559</w:t>
    </w:r>
    <w:r>
      <w:br/>
    </w:r>
    <w:r w:rsidR="00000000" w:rsidRPr="00000000" w:rsidDel="00000000">
      <w:rPr>
        <w:rtl w:val="0"/>
      </w:rPr>
      <w:t xml:space="preserve">Izdrukāts 04.12.2023. 19.47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23-TA-2559</w:t>
    </w:r>
    <w:r>
      <w:br/>
    </w:r>
    <w:r w:rsidR="00000000" w:rsidRPr="00000000" w:rsidDel="00000000">
      <w:rPr>
        <w:rtl w:val="0"/>
      </w:rPr>
      <w:t xml:space="preserve">Izdrukāts 04.12.2023. 19.47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