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Krievijas lauksaimniecības un pārtikas produktu importu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un tā pielikumā nav norādīts mērķis un nav iekļauta nekāda informācija par papildus nepieciešamajiem resursiem, lai nodrošinātu Valsts ieņēmumu dienesta Muitas pārvaldes (turpmāk – VID MP) darbības stiprināšanu, uzskatām, ka informatīvā ziņojuma pielikumā norādītais apgalvojums </w:t>
            </w:r>
            <w:r w:rsidR="00000000" w:rsidRPr="00000000" w:rsidDel="00000000">
              <w:rPr>
                <w:i w:val="1"/>
                <w:rtl w:val="0"/>
              </w:rPr>
              <w:t xml:space="preserve">"Turklāt Ekonomikas ministrija uzskata, ka ir nepieciešama VID MP darbības stiprināšana, lai nodrošinātu efektīvu sankciju ierobežojumu ievērošanu, t.sk. izcelsmes valsts izsekošanu"</w:t>
            </w:r>
            <w:r w:rsidR="00000000" w:rsidRPr="00000000" w:rsidDel="00000000">
              <w:rPr>
                <w:rtl w:val="0"/>
              </w:rPr>
              <w:t xml:space="preserve"> un ietvertais uzdevums  </w:t>
            </w:r>
            <w:r w:rsidR="00000000" w:rsidRPr="00000000" w:rsidDel="00000000">
              <w:rPr>
                <w:i w:val="1"/>
                <w:rtl w:val="0"/>
              </w:rPr>
              <w:t xml:space="preserve">"Finanšu ministrijai stiprināt VID MP darbību, lai nodrošinātu sankciju ierobežojumu ievērošanu, t.sk. izcelsmes valsts izsekošanu"</w:t>
            </w:r>
            <w:r w:rsidR="00000000" w:rsidRPr="00000000" w:rsidDel="00000000">
              <w:rPr>
                <w:rtl w:val="0"/>
              </w:rPr>
              <w:t xml:space="preserve">  nav iekļaujams ne ziņojuma pielikumā, ne protokollēmuma 6.punktā. Turklāt informējam, ka VID sankciju ierobežojumu ievērošanu nodrošina saskaņā ar Eiropas Savienības un nacionālajiem normatīvajiem aktiem un minētais apgalvojums rada un var radīt izpratni, ka VID MP šobrīd darbojas neefektīvi, kas mūsu vērtējumā ir nepatiess.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šāds uzdevums ar Finanšu ministriju netika ne iepriekš saskaņots, ne apspriests sanāksmē, kas notika 2023. gada 28. decembrī, kad tikās Zemkopības ministrijas un Finanšu ministrijas speciālisti un pārrunāja dažādus risinājumus par importa Latvijā tālāku izsekojamību, par iespējamo nodokļa palielināšanu darījumiem ar zemu nodokļu vai beznodokļu valstu (ārzonu) uzņēmumiem, tranzīta pastiprinātu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6.punktā noteikto uzdevumu Finanšu ministrijai stiprināt Valsts ieņēmumu dienesta Muitas pārvaldes darbību, lai nodrošinātu sankciju ierobežojumu ievērošanu, t.sk. izcelsmes valsts izsekošanu, kā arī ziņojuma pielikumā ietverto apgalvojumu un 1.1.3.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Ceriņa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failā minēts, ka: “</w:t>
            </w:r>
            <w:r w:rsidR="00000000" w:rsidRPr="00000000" w:rsidDel="00000000">
              <w:rPr>
                <w:i w:val="1"/>
                <w:rtl w:val="0"/>
              </w:rPr>
              <w:t xml:space="preserve">Ņemot vērā, ka graudu importa aizliegums samazinātu atsevišķu uzņēmumu konkurētspēju, iespējams, būtu nepieciešams sniegt atbalstu uzņēmumu pārorientācijai uz citiem tirgiem un produktiem. Tomēr, tā kā efektīvi kompensējošie mehānismi ietver atbalstu tirgus dalībnieku uzvedības maiņai, tos varēs identificēt un apmēru vērtēt tikai tad, kad būs zināmi konkrētie apstākļi un papildus informācija par nepieciešamo atbalstu.</w:t>
            </w:r>
            <w:r w:rsidR="00000000" w:rsidRPr="00000000" w:rsidDel="00000000">
              <w:rPr>
                <w:rtl w:val="0"/>
              </w:rPr>
              <w:t xml:space="preserve">”, vēršam uzmanību, ka gadījumā, ja tiks plānoti šādi pasākumi, to ieviešanā jāpiemēro atbilstošs komercdarbības atbalsta kontroles regulējums. Lūdzam atbilstoši papildināt informatīvā ziņojuma pielikuma failu.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Atzinumi_24-TA-38.docx</dc:title>
</cp:coreProperties>
</file>

<file path=docProps/custom.xml><?xml version="1.0" encoding="utf-8"?>
<Properties xmlns="http://schemas.openxmlformats.org/officeDocument/2006/custom-properties" xmlns:vt="http://schemas.openxmlformats.org/officeDocument/2006/docPropsVTypes"/>
</file>