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24-TA-781: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mediju politikas pamatnostādnes 2024.–2027. 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21.08.2024.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21.08.2024.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