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sistēmas pārzinis, lai nodrošinātu valsts un pašvaldību dibinātajās vispārējās un profesionālās izglītības iestādēs izglītojamiem, viņu vecākiem (personām, kas realizē aizgādību; turpmāk visi kopā - vecāki), pedagogiem un izglītības iestāžu dibinātājiem vienotu elektronisko vidi izglītības iestāžu rīcībā esošo tehnoloģisko resursu (turpmāk – izglītības resursi) administratīvai pārvaldībai, uztur atbilstošu elektronisko vidi informācijas uzkrāšanai un apstrādei: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Tieslietu ministrijas un arī Datu valsts inspekcijas izteiktos iebildumus, lūdzam noteikumu projekta 3. punktu precizēt, svītrojot regulējumu, kas neatbilst augstāka juridiskā spēka normatīvajam aktam. Mērķis, kas jānodrošina jau ir noteikts Izglītības likuma 18.</w:t>
            </w:r>
            <w:r w:rsidR="00000000" w:rsidRPr="00000000" w:rsidDel="00000000">
              <w:rPr>
                <w:vertAlign w:val="superscript"/>
                <w:rtl w:val="0"/>
              </w:rPr>
              <w:t xml:space="preserve">1</w:t>
            </w:r>
            <w:r w:rsidR="00000000" w:rsidRPr="00000000" w:rsidDel="00000000">
              <w:rPr>
                <w:rtl w:val="0"/>
              </w:rPr>
              <w:t xml:space="preserve"> panta pirmajā daļā. Līdz ar to nav nepieciešams to dublēt.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sistēmas pārzinis uztur atbilstošu elektronisko vidi informācijas uzkrāšanai un apstrādei: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06.03.2023.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06.03.2023.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