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par grozījumu ietekmi uz atlasēm un gala saņēmējiem, t.i., vai grozījumi attiecas tikai uz jaunām atlasēm, vai arī uz jau izsludinātām atlasēm. Ņemot vērā, ka grozījumi skar arī attiecināmās izmaksas, lūdzam norādīt, kā attiecīgie grozījumi ietekmēs noslēgtos līgumus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 sadaļu, detalizētāk aprakstot visus plānotos grozījumus noteikumu projektā, piemēram, noteikumu papildināšana ar 27.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minētā pieejamā finansējuma izlietošanas sabiedrība "Altum", izmantojot atbalsta programmas ietvaros atmaksāto finansējumu (klientu maksājumus no aizdevumiem un komisijas maksas par garantijām), kā arī garantiju kompensāciju izmaksām neizmantoto šo noteikumu </w:t>
            </w:r>
            <w:r w:rsidR="00000000" w:rsidRPr="00000000" w:rsidDel="00000000">
              <w:rPr>
                <w:rtl w:val="0"/>
              </w:rPr>
              <w:t xml:space="preserve">10.3.</w:t>
            </w:r>
            <w:r w:rsidR="00000000" w:rsidRPr="00000000" w:rsidDel="00000000">
              <w:rPr>
                <w:rtl w:val="0"/>
              </w:rPr>
              <w:t xml:space="preserve"> apakšpunktā</w:t>
            </w:r>
            <w:r w:rsidR="00000000" w:rsidRPr="00000000" w:rsidDel="00000000">
              <w:rPr>
                <w:rtl w:val="0"/>
              </w:rPr>
              <w:t xml:space="preserve"> minēto finansējumu, var: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Nr.594 20.punktu ar finansējuma atmaksu, kā arī garantiju kompensāciju izmaksu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tiek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komersantam ir pienākums atmaksāt sabiedrībai "Altum" visu projekta ietvaros saņemto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lūdzam precizēt noteikumu 32.4.apakšpunktu, kā arī noteikumu 109.punktu.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tiek pārkāpti Komisijas regulas Nr. 1407/2013 nosacījumi, atbalsta saņēmējam ir pienākums atmaksāt pašvaldībai visu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Ja tiek pārkāpti Komisijas regulas Nr. 651/2014 nosacījumi, komersantam ir pienākums atmaksāt sabiedrībai "Altum" visu projekta ietvaros saņemto nelikumīgo valsts atbalstu kopā ar procentiem no līdzekļiem, kas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50.2. ja par vienām un tām pašām projekta attiecināmajām izmaksām tiek sniegts atbalsts vairāku valsts atbalsta programmu ietvaros, komersants darbus projektā var uzsākt tikai pēc tam, kad visās valsts iestādēs, kurās šim pašam projektam komersants ir pieteicies vai plāno pieteikties, ir saņemts projekta iesniegums par projekta īstenošanu, kurā sniegta visa informācija par plānoto un piešķirto atbalstu tam pašam projektam (tai skaitā par tām pašām attiecināmajām izmaksām), norādot atbalsta piešķiršanas datumu (tai skaitā plānoto atbalsta piešķiršanas datumu), atbalsta sniedzēju, atbalsta pasākumu un plānoto vai piešķirto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kumulācijas gadījumā ir jāpārliecinās arī par to, vai netiek pārsniegta maksimālā atbalsta intensitāte, lūdzam noteikumu 50.2.apakšpunktā ietverto normu papildināt ar nosacījumu, ka kumulācijas gadījumā projekta iesniegumā par projekta īstenošanu ir sniegta informācija arī par piemēroto atbalsta intensitāti (skat., arī noteikumu 93.6.apakšpunkta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Atbalstu, kas sniegts saskaņā ar Komisijas regulas Nr. </w:t>
            </w:r>
            <w:r w:rsidR="00000000" w:rsidRPr="00000000" w:rsidDel="00000000">
              <w:rPr>
                <w:rtl w:val="0"/>
              </w:rPr>
              <w:t xml:space="preserve">651/2014</w:t>
            </w:r>
            <w:r w:rsidR="00000000" w:rsidRPr="00000000" w:rsidDel="00000000">
              <w:rPr>
                <w:rtl w:val="0"/>
              </w:rPr>
              <w:t xml:space="preserve"> 38.a pantu, izmanto šādām papildu ieguldījumu izmaksām, un tās iekļauj projekta attiecināmajās izmaksās, ja tās nepieciešamas, lai sasniegtu augstāku energoefektivitātes līmeni, un veido projekta ietvaros radīto pamatlīdzekļu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Komisijas regulas Nr. 651/2014 38.a panta 5.punktu attiecināmās izmaksas ir kopējās ieguldījumu izmaksas, nevis papildu ieguldījumu izmaksas, lūdzam atbilstoši precizēt noteikumu 53.punktā ietvertā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7</w:t>
            </w:r>
            <w:r w:rsidR="00000000" w:rsidRPr="00000000" w:rsidDel="00000000">
              <w:rPr>
                <w:rtl w:val="0"/>
              </w:rPr>
              <w:t xml:space="preserve"> Attiecināmajām izmaksām atbilstoši Komisijas regulas Nr. 651/2014 38. panta 4. un 5. punktam kopējā atbalsta intensitāte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61.</w:t>
            </w:r>
            <w:r w:rsidR="00000000" w:rsidRPr="00000000" w:rsidDel="00000000">
              <w:rPr>
                <w:vertAlign w:val="superscript"/>
                <w:rtl w:val="0"/>
              </w:rPr>
              <w:t xml:space="preserve">3</w:t>
            </w:r>
            <w:r w:rsidR="00000000" w:rsidRPr="00000000" w:rsidDel="00000000">
              <w:rPr>
                <w:rtl w:val="0"/>
              </w:rPr>
              <w:t xml:space="preserve">punktā noteikto, ka atbalsts tiek sniegts saskaņā ar Komisijas regulas Nr. 651/2014 38. panta 8.punktu, lūdzam noteikumu 61.</w:t>
            </w:r>
            <w:r w:rsidR="00000000" w:rsidRPr="00000000" w:rsidDel="00000000">
              <w:rPr>
                <w:vertAlign w:val="superscript"/>
                <w:rtl w:val="0"/>
              </w:rPr>
              <w:t xml:space="preserve">7</w:t>
            </w:r>
            <w:r w:rsidR="00000000" w:rsidRPr="00000000" w:rsidDel="00000000">
              <w:rPr>
                <w:rtl w:val="0"/>
              </w:rPr>
              <w:t xml:space="preserve"> punktā noteikt korektas atbalsta intensitātes atbilstoši Komisijas regulas Nr. 651/2014 38. panta 8.punktā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"pēc noteikumu projekta spēkā stāšanās tika sagatavots paziņojums SANI2 sistēmā par valsts atbalsta shēmu". Lūdzam redakcionāli precizēt tekstu, norādot, ka Ekonomikas ministrija 20 darba dienu laiku pēc noteikumu projekta spēkā stāšanās sagatavos kopsavilkuma informāciju un izmantojot SANI2 sistēmu iesniegs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