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nozares informācijas nacionālā (valsts) piekļuves punkta darbības un datu iesniegšanas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Noteikumi attiecībā uz datu aizsardzību un privātumu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Ceļu satiksmes likuma VI</w:t>
            </w:r>
            <w:r w:rsidR="00000000" w:rsidRPr="00000000" w:rsidDel="00000000">
              <w:rPr>
                <w:vertAlign w:val="superscript"/>
                <w:rtl w:val="0"/>
              </w:rPr>
              <w:t xml:space="preserve">1</w:t>
            </w:r>
            <w:r w:rsidR="00000000" w:rsidRPr="00000000" w:rsidDel="00000000">
              <w:rPr>
                <w:rtl w:val="0"/>
              </w:rPr>
              <w:t xml:space="preserve"> nodaļas un 1. panta 22.1 apakšpunktā minēto Regulu mērķa izriet, ka intelektiskā transporta sistēmā tiks apstrādāti personas dati un tie apstrādājami saskaņā ar personas datu apstrādi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un 25. punktā noteikts, ka dati apstrādājami anonimizētā vai pseidonimizētā veidā. Ja dati tiek apstrādāti anonimizētā veidā un no datiem nav iespējams identificēt fizisku personu, tad uz šādu datu apstrādi nav attiecināmas Eiropas Parlamenta un Padomes 2016. gada 27. aprīļa regulas (ES) 2016/679 par fizisku personu aizsardzību attiecībā uz personas datu apstrādi un šādu datu brīvu apriti un ar ko atceļ Direktīvu 95/46/EK (Vispārīgā datu aizsardzības regula) (turpmāk – Datu regula) prasības. Savukārt, saskaņā ar Datu regulas 4. panta 5. punktu, pseidonimizācija ir personas datu apstrāde, ko veic tādā veidā, lai personas datus vairs nav iespējams saistīt ar konkrētu datu subjektu bez papildu informācijas izmantošanas, [..], kas nozīmē, ka pseidonimizētu datu apstrādei tiek piemērotas Datu regulas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anotācijas neizriet skaidra informācija par to, kādos gadījumos pārzinis datus apstrādās anonimizētus un kādos gadījumos pseidonimizētus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projekta VI nodaļa precizējama, lai no tās būtu nepārprotami skaidrs, kuros gadījumos dati tiks anonimizēti un kuros gadījumos dati tiks pseidonimizēti (kuri ir tie nolūki, kurus var sasniegt ar pseidonimizietiem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23. punktu, jo tai nav redzamas juridiskās slodzes. Proti, personai ir jāievēro normatīvie akti neatkarīgi no tā, vai tas tieši ir norādīts tās darbības jomu regulējošā speciālajā normatīvajā aktā. Turklāt nav saprotams, kāpēc ir izdarīta atsauce uz Fizisko personu datu aizsardzības likuma konkrētu pantu, kas ir vispārīgs, bet nav atsauces uz citiem Fizisko personu datu apstrādes likuma pantiem vai Vispārīgo datu aizsardzības regulu.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22. punktu, izstrādājot anotāciju ir jāņem vērā sagatavotās vadlīnijas un tajā ietvertās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VI nodaļa attiecas uz personas datu aizsardzību, Inspekcija aicina izstrādāt anotācijas 8.1.13. sadaļu atbilstoši Valsts kancelejas izstrādātajām vadlīnijām “Vadlīnijas tiesību akta projekta sākotnējās ietekmes novērtēšanai un novērtējuma ziņojuma sagatavošanai vienotajā tiesību aktu izstrādes un saskaņošanas portālā”  (https://www.mk.gov.lv/sites/mk/files/media_file/tap_anotacija_vadlinijas.pdf).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lūdzam norādīt, kas, kādiem nolūkiem un kādā apjomā apstrādās personas datus, arī tad, ja šo pienākumu noteic Eiropas Savienības regulējums un tāpēc noteikumu projektā atbilstošās tiesību normas nav ietvertas.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24-TA-1897</w:t>
    </w:r>
    <w:r>
      <w:br/>
    </w:r>
    <w:r w:rsidR="00000000" w:rsidRPr="00000000" w:rsidDel="00000000">
      <w:rPr>
        <w:rtl w:val="0"/>
      </w:rPr>
      <w:t xml:space="preserve">Izdrukāts 08.10.2024.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24-TA-1897</w:t>
    </w:r>
    <w:r>
      <w:br/>
    </w:r>
    <w:r w:rsidR="00000000" w:rsidRPr="00000000" w:rsidDel="00000000">
      <w:rPr>
        <w:rtl w:val="0"/>
      </w:rPr>
      <w:t xml:space="preserve">Izdrukāts 08.10.2024.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Atzinumi_24-TA-1897.docx</dc:title>
</cp:coreProperties>
</file>

<file path=docProps/custom.xml><?xml version="1.0" encoding="utf-8"?>
<Properties xmlns="http://schemas.openxmlformats.org/officeDocument/2006/custom-properties" xmlns:vt="http://schemas.openxmlformats.org/officeDocument/2006/docPropsVTypes"/>
</file>