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21. septembra noteikumos Nr. 899 "Likuma "Par iedzīvotāju ienākuma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 punktu, ar ko papildina 142.</w:t>
            </w:r>
            <w:r w:rsidR="00000000" w:rsidRPr="00000000" w:rsidDel="00000000">
              <w:rPr>
                <w:vertAlign w:val="superscript"/>
                <w:rtl w:val="0"/>
              </w:rPr>
              <w:t xml:space="preserve">6</w:t>
            </w:r>
            <w:r w:rsidR="00000000" w:rsidRPr="00000000" w:rsidDel="00000000">
              <w:rPr>
                <w:rtl w:val="0"/>
              </w:rPr>
              <w:t xml:space="preserve"> punktu attiecība par 4. pielikuma 13. un 14. aizpildīšanas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iedzīvotaja ienākuma nodokli" pārejas noteikumu 203. punktu no 2025. gada 1. janvāra līdz 2027. gada 31. decembrim ar nodokli neapliek ārvalsts nodokļa maksātāja (nerezidenta) ienākumu, kas gūts no publiskā apgrozībā esošu kriptoaktīvu atsavināšanas. Ar Noteikumu projekta 57. punktu paredzēts, ka ienākuma izmaksātājam ir jāsniedz Valsts iesņēmumu dienestam pārskats saskaņā ar 4. pielikumu, kā 13. un 14. ailē ir jāaizpilda šāda informācija: (13) Nodokļa likme (%) ; (14) Nodokļa summa (EUR). Ņemot vērā, ka nodokļa likmi šādiem ienākumiem nepiemēro līdz 2027. gada 31. decembrim, tad ienākuma izmaksātājiem nav pamata sniegt informāciju par nodokļu likmi un summu, ko izmaksas brīdī nepiemēroja.Turklāt ienākuma izmaksātājs 4. pielikuma 9. ailē "Ienākuma veids (kods)**" šādu izmaksu gadījumā norādīs 22. ienākuma veida kodu "ienākums no publiskā apgrozībā esošu kriptoaktīvu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Noteikumu projekta 57. punktu, izslēdzot prasību aizpildīt 4. pielikuma 13. un 14. aili, vai sniegt skaidrojumu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03.10.2025.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03.10.2025.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Atzinumi_25-TA-527.docx</dc:title>
</cp:coreProperties>
</file>

<file path=docProps/custom.xml><?xml version="1.0" encoding="utf-8"?>
<Properties xmlns="http://schemas.openxmlformats.org/officeDocument/2006/custom-properties" xmlns:vt="http://schemas.openxmlformats.org/officeDocument/2006/docPropsVTypes"/>
</file>