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romu stratēģiskā ietvara pasākumu īstenošanai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Rosinām precizēt 4.5. pasākuma nosaukumu un rezultatīvo rādītāju atbilstoši SIF mājaslapā sniegtajai informācijai par projektu konkursiem (https://www.sif.gov.lv/lv/mazakumtautibu-un-sabiedribas-saliedetibas-programma).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Mazākumtautību un sabiedrības saliedētības programma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Aktivitātēs iesaistīti vismaz 400 bērni, jaunieši un viņu ģimenes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Marija Vlasenko (IZM)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romu stratēģiskā ietvara pasākumu īstenošanai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rezultatīvo rādītāju pasākumam Nr. 5.3. "Īstenotas antičigānsma kampaņas."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Īstenotas kampaņas, lai apkarotu/mazinātu antičigānismu.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Marija Vlasenko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25.07.2024. 07.59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25.07.2024. 07.59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