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20.02.2026. CFLA iesūtītos precizējumus, Ekonomikas ministrija izsaka priekšlikumu anotācijā iekļaut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rīks plānots kā atsevišķs risinājums, kas netiks integrēts ar LAD, ALTUM, LIAA u.c. atbalsta sniedzēju esošajām informācijas sistēmām. IT rīku atbalsta sniedzēji un uzņēmumi varēs lietot, izmantojot autentifikācijas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Trokša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20.02.2026.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20.02.2026.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Atzinumi_25-TA-3127.docx</dc:title>
</cp:coreProperties>
</file>

<file path=docProps/custom.xml><?xml version="1.0" encoding="utf-8"?>
<Properties xmlns="http://schemas.openxmlformats.org/officeDocument/2006/custom-properties" xmlns:vt="http://schemas.openxmlformats.org/officeDocument/2006/docPropsVTypes"/>
</file>