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4.2.3.4. pasākuma “Sekmēt NEET jauniešu integrēšanos izglītībā un nodarbinātībā”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Finansējuma saņēmēja sadarbības partneri ir valstspilsētas pašvaldības un novadu pašvaldības. Finansējuma saņēmējs šo noteikumu </w:t>
            </w:r>
            <w:r w:rsidR="00000000" w:rsidRPr="00000000" w:rsidDel="00000000">
              <w:rPr>
                <w:rtl w:val="0"/>
              </w:rPr>
              <w:t xml:space="preserve">46.1.</w:t>
            </w:r>
            <w:r w:rsidR="00000000" w:rsidRPr="00000000" w:rsidDel="00000000">
              <w:rPr>
                <w:rtl w:val="0"/>
              </w:rPr>
              <w:t xml:space="preserve"> apakšpunktā noteiktajā kārtībā projekta īstenošanā plāno iesaistīt biedrības un nodibinājumus, kas veic darbu ar jaunatni.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17. punktā veiktos precizējumus, secinām, ka finansējuma saņēmēja piesaistītās biedrības un nodibinājumi nav uzskatāmi par sadarbības partneriem. Attiecīgi lūdzam precizēt noteikumu projektu, minēto normu izsakot atsevišķā punktā un paredzot, ka finansējuma saņēmējs piesaistīs biedrības un nodibinājumus kā pakalpojumu sniedzējus.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28.2.1. tiešās attiecināmās personāla atlīdzības izmaksas, kas ietver projekta vadības personāla atlīdzības izmaksas šo noteikumu </w:t>
            </w:r>
            <w:r w:rsidR="00000000" w:rsidRPr="00000000" w:rsidDel="00000000">
              <w:rPr>
                <w:rtl w:val="0"/>
              </w:rPr>
              <w:t xml:space="preserve">26.3.</w:t>
            </w:r>
            <w:r w:rsidR="00000000" w:rsidRPr="00000000" w:rsidDel="00000000">
              <w:rPr>
                <w:rtl w:val="0"/>
              </w:rPr>
              <w:t xml:space="preserve"> apakšpunktā minēto atbalstāmo darbību īstenošanai un projekta īstenošanas personāla atlīdzības izmaksas šo noteikumu </w:t>
            </w:r>
            <w:r w:rsidR="00000000" w:rsidRPr="00000000" w:rsidDel="00000000">
              <w:rPr>
                <w:rtl w:val="0"/>
              </w:rPr>
              <w:t xml:space="preserve">26.1.</w:t>
            </w:r>
            <w:r w:rsidR="00000000" w:rsidRPr="00000000" w:rsidDel="00000000">
              <w:rPr>
                <w:rtl w:val="0"/>
              </w:rPr>
              <w:t xml:space="preserve">, </w:t>
            </w:r>
            <w:r w:rsidR="00000000" w:rsidRPr="00000000" w:rsidDel="00000000">
              <w:rPr>
                <w:rtl w:val="0"/>
              </w:rPr>
              <w:t xml:space="preserve">26.2.</w:t>
            </w:r>
            <w:r w:rsidR="00000000" w:rsidRPr="00000000" w:rsidDel="00000000">
              <w:rPr>
                <w:rtl w:val="0"/>
              </w:rPr>
              <w:t xml:space="preserve"> un </w:t>
            </w:r>
            <w:r w:rsidR="00000000" w:rsidRPr="00000000" w:rsidDel="00000000">
              <w:rPr>
                <w:rtl w:val="0"/>
              </w:rPr>
              <w:t xml:space="preserve">26.4.</w:t>
            </w:r>
            <w:r w:rsidR="00000000" w:rsidRPr="00000000" w:rsidDel="00000000">
              <w:rPr>
                <w:rtl w:val="0"/>
              </w:rPr>
              <w:t xml:space="preserve"> apakšpunktā noteiktās atbalstāmās darbības īstenošanai, kas līdz atbildīgās iestādes izstrādātās vienkāršoto izmaksu metodikas apstiprināšanai ir attiecināmas kā faktiskās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ar nosacījumu, ka daļlaika attiecināmības principa gadījumā pēc faktiskajām izmaksām, attiecināma ir ne mazāka kā 30 procentu noslodze.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28.2.4. transporta pakalpojumu izmaksas (maksa par degvielu, transportlīdzekļa noma, transporta pakalpojumu pirkšana, sabiedriskā transporta izmantošana, izņemot darbiniekam piederoša personiskā transportlīdzekļa izmantošanas kompensāciju par nobraukto kilometru) finansējuma saņēmēja projekta vadības un īstenošanas personālam šo noteikumu </w:t>
            </w:r>
            <w:r w:rsidR="00000000" w:rsidRPr="00000000" w:rsidDel="00000000">
              <w:rPr>
                <w:rtl w:val="0"/>
              </w:rPr>
              <w:t xml:space="preserve">26.</w:t>
            </w:r>
            <w:r w:rsidR="00000000" w:rsidRPr="00000000" w:rsidDel="00000000">
              <w:rPr>
                <w:rtl w:val="0"/>
              </w:rPr>
              <w:t xml:space="preserve">punktā minēto atbalstāmo darbību īstenošanai, atbilstoši Latvijas Republikas normatīvajiem aktiem par kārtību, kādā atlīdzināmi ar komandējumiem saistītie izdevumi. Degvielas izmaksas vieglajam transportlīdzeklim un reģionālās starppilsētu nozīmes un reģionālās vietējās nozīmes sabiedriskā transporta izmaksas tiek segtas atbilstoši Finanšu ministrijas metodikā "Vienas vienības izmaksu standarta likmes aprēķina un piemērošanas metodika 1 km izmaksām darbības programmas "Izaugsme un nodarbinātība" un Eiropas Savienības kohēzijas politikas programmas 2021.–2027. gadam īstenošanai" iekļautajiem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28.2.4.punktā noteiktās izmaksas daļēji dublējas ar 28.2.3.punktā noteiktajām izmaksām (maksa par degvielu, maksa par sabiedrisko transportu, dienas nauda, maksa par naktsmītni). Lūdzam precizēt 28.2.4.punktu, norādot tikai faktiskās izmaksas par transportlīdzekļu nomu un transporta pakalpojuma pirkšanu.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 Valpētere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28.2.5. darba vietas aprīkojuma, tai skaitā biroja mēbeļu un tehnikas, datorprogrammu un licences iegādes vai īres izmaksas, tai skaitā aprīkojuma uzturēšanas un remonta izmaksas, ne vairāk kā 3000 </w:t>
            </w:r>
            <w:r w:rsidR="00000000" w:rsidRPr="00000000" w:rsidDel="00000000">
              <w:rPr>
                <w:i w:val="1"/>
                <w:rtl w:val="0"/>
              </w:rPr>
              <w:t xml:space="preserve">euro </w:t>
            </w:r>
            <w:r w:rsidR="00000000" w:rsidRPr="00000000" w:rsidDel="00000000">
              <w:rPr>
                <w:rtl w:val="0"/>
              </w:rPr>
              <w:t xml:space="preserve">apmērā vienai darba vietai visā projekta īstenošanas laikā, ja tiek veidota jauna darba vieta vai esošo darba vietu aprīkojums ir nolietojies un tiek norakstīts. Ja projekta vadības un īstenošanas personāls ir nodarbināts projektā normālu darba laiku, darba vietas aprīkojuma iegādes vai nomas izmaksas ir attiecināmas 100 procentu apmērā. Ja personāls ir nodarbināts nepilnu darba laiku, darba vietas aprīkojuma iegādes vai nomas izmaksas ir attiecināmas ņemot vērā attiecīgā darba laika proporciju. Ja personāls ir nodarbināts saskaņā ar daļlaika attiecināmības principu, darba vietas aprīkojuma attiecināmās izmaksas nosakāmas proporcionāli darba laika projektā procentuālajam sadalījumam, ņemot vērā darbinieka rīkojumā noteikto darba laika proporciju vai atbilstoši iepriekšējā mēnesī faktiski nostrādātajam darba laikam uz brīdi, kad darbinieks saņem darba vietas aprīkojumu lietošanā;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attiecīgo apakšpunktu papildināt: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nosacījumu, ka daļlaika izmaksu attiecināšanas principa gadījumā tiek ņemts vērā darbinieka iesaistes periods projektā pret projekta kopējo īstenošanas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Vienlaikus lūdzam papildināt anotāciju ar skaidrojumu, ka tiks vērtēts aprīkojuma iegādes samērīgums attiecībā uz darbiniekiem, kuriem tiek piemērots daļlaika noslodzes princips.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Pasākuma ietvaros finansējuma saņēmējam projekta vadības personāla un projekta īstenošanas personāla atlīdzības izmaksas tiek attiecinātas proporcionāli noslodzei projektā vai tiek noteiktas kā piemaksas atbilstoši Valsts un pašvaldību institūciju amatpersonu un darbinieku atlīdzības likumā noteiktajai piemaksu saņemšanas kārtībai.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aizvietošanas piemaksu attiecināmības shēma ir noteikta Finanšu ministrijas vadlīniju Nr.1.2. "Vadlīnijas attiecināmo izmaksu noteikšanai Eiropas Savienības kohēzijas politikas programmas 2021.-2027.gada plānošanas periodā" pielikumā Nr.2. Attiecīgi, lai saņemtu piemaksu no ES fondu finansējuma, rīkojumā par aizvietošanu tiek atrunāts, ka aizvietošanas ietvaros tiek pildīti tikai ar ES fondu jautājumiem saistīti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izvērtēt MK noteikumu punktu, vai redakcija nebūtu precizējama/papildināma.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Krisone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46.5. finansējuma saņēmējs un sadarbības partneri par projekta ietvaros atbalstu saņēmušajiem mērķa grupas jauniešiem uzkrāj </w:t>
            </w:r>
            <w:r w:rsidR="00000000" w:rsidRPr="00000000" w:rsidDel="00000000">
              <w:rPr>
                <w:rtl w:val="0"/>
              </w:rPr>
              <w:t xml:space="preserve">36.</w:t>
            </w:r>
            <w:r w:rsidR="00000000" w:rsidRPr="00000000" w:rsidDel="00000000">
              <w:rPr>
                <w:rtl w:val="0"/>
              </w:rPr>
              <w:t xml:space="preserve">punktā minēto informāciju atbilstoši Eiropas Parlamenta un Padomes 2021. gada 24. jūnija Regulas (ES) Nr. 2021/1057, ar ko izveido Eiropas Sociālo fondu Plus un atceļ Regulu (ES) Nr.1296/2013, 1. pielikumam un Ministru kabineta 2023. gada 21. marta noteikumu Nr. 135 "Eiropas Savienības fondu projektu pārbaužu veikšanas kārtība 2021.–2027. gada plānošanas periodā" 1. pielikumā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46.5.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izvērtēt, vai ir jāatsaucas tieši uz 36. punktu, un precizēt atsauci;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precizēt normā minētās regulas nosaukumu, aizstājot vārdus "Eiropas Sociālo fondu Plus" ar vārdiem "Eiropas Sociālo fondu Plus (ESF+)", kā arī minētās regulas pielikumu numurēt ar romiešu cipariem.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46.6. finansējuma saņēmējs un sadarbības partneris projekta īstenošanas laikā nodrošina visu ar projekta īstenošanu saistīto dokumentu glabāšanu, tai skaitā šo noteikumu </w:t>
            </w:r>
            <w:r w:rsidR="00000000" w:rsidRPr="00000000" w:rsidDel="00000000">
              <w:rPr>
                <w:rtl w:val="0"/>
              </w:rPr>
              <w:t xml:space="preserve">36.</w:t>
            </w:r>
            <w:r w:rsidR="00000000" w:rsidRPr="00000000" w:rsidDel="00000000">
              <w:rPr>
                <w:rtl w:val="0"/>
              </w:rPr>
              <w:t xml:space="preserve">punktā minēto datu glabāšanu. Pēc noslēguma maksājuma pieprasījuma pārbaudes Centrālā finanšu un līgumu aģentūra vēstulē par apstiprinātiem attiecināmajiem izdevumiem paziņo finansējuma saņēmējam par dokumentu glabāšanas termiņu, paredzot to ne mazāk kā piecus gadus pēc pēdējā maksājuma veikšanas dalībvalstij, un par šo noteikumu </w:t>
            </w:r>
            <w:r w:rsidR="00000000" w:rsidRPr="00000000" w:rsidDel="00000000">
              <w:rPr>
                <w:rtl w:val="0"/>
              </w:rPr>
              <w:t xml:space="preserve">36.</w:t>
            </w:r>
            <w:r w:rsidR="00000000" w:rsidRPr="00000000" w:rsidDel="00000000">
              <w:rPr>
                <w:rtl w:val="0"/>
              </w:rPr>
              <w:t xml:space="preserve">punktā minēto datu glabāšanas termiņu, kas ir pieci gadi pēc pēdējā maksājuma veikšanas dalībvalstij. Iestājoties minētajam datu glabāšanas termiņam, finansējuma saņēmējs dzēš tā rīcībā esošos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46.6. apakšpunktu, precizējot dokumentu glabāšanas termiņu. Vēršam uzmanību, ka dokumentu glabāšanas termiņš ir pieci gadi pēc projekta pabeigšanas vai līgumā vai vienošanās par projekta īstenošanu noteiktais termiņš, vai termiņš, kas minēts Ministru kabineta 2022. gada 13. decembra noteikumu Nr. 770 "Kārtība, kādā Eiropas Savienības fondu 2021.–2027. gada plānošanas periodā nodrošina ieguldījumu uzraudzību un izvērtēšanu, kā arī izstrādā un uztur Kohēzijas politikas fondu vadības informācijas sistēmu" 27. punktā (t.i. 2039. gada 31. decembris).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Pieci gadi pēc pēdējā maksājuma veikšanas dalībvalstij ir dokumentu glabāšanas termiņš, kas noteikts Atveseļošanas un noturības mehānisma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46.6. finansējuma saņēmējs un sadarbības partneris projekta īstenošanas laikā nodrošina visu ar projekta īstenošanu saistīto dokumentu glabāšanu, tai skaitā šo noteikumu </w:t>
            </w:r>
            <w:r w:rsidR="00000000" w:rsidRPr="00000000" w:rsidDel="00000000">
              <w:rPr>
                <w:rtl w:val="0"/>
              </w:rPr>
              <w:t xml:space="preserve">36.</w:t>
            </w:r>
            <w:r w:rsidR="00000000" w:rsidRPr="00000000" w:rsidDel="00000000">
              <w:rPr>
                <w:rtl w:val="0"/>
              </w:rPr>
              <w:t xml:space="preserve">punktā minēto datu glabāšanu. Pēc noslēguma maksājuma pieprasījuma pārbaudes Centrālā finanšu un līgumu aģentūra vēstulē par apstiprinātiem attiecināmajiem izdevumiem paziņo finansējuma saņēmējam par dokumentu glabāšanas termiņu, paredzot to ne mazāk kā piecus gadus pēc pēdējā maksājuma veikšanas dalībvalstij, un par šo noteikumu </w:t>
            </w:r>
            <w:r w:rsidR="00000000" w:rsidRPr="00000000" w:rsidDel="00000000">
              <w:rPr>
                <w:rtl w:val="0"/>
              </w:rPr>
              <w:t xml:space="preserve">36.</w:t>
            </w:r>
            <w:r w:rsidR="00000000" w:rsidRPr="00000000" w:rsidDel="00000000">
              <w:rPr>
                <w:rtl w:val="0"/>
              </w:rPr>
              <w:t xml:space="preserve">punktā minēto datu glabāšanas termiņu, kas ir pieci gadi pēc pēdējā maksājuma veikšanas dalībvalstij. Iestājoties minētajam datu glabāšanas termiņam, finansējuma saņēmējs dzēš tā rīcībā esošos datus;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46.6. apakšpunktā vārdus "Centrālā finanšu un līgumu aģentūra" ar vārdiem "sadarbības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Finansējuma saņēmējs, sadarbības partneris un šo noteikumu projekta </w:t>
            </w:r>
            <w:r w:rsidR="00000000" w:rsidRPr="00000000" w:rsidDel="00000000">
              <w:rPr>
                <w:rtl w:val="0"/>
              </w:rPr>
              <w:t xml:space="preserve">19.</w:t>
            </w:r>
            <w:r w:rsidR="00000000" w:rsidRPr="00000000" w:rsidDel="00000000">
              <w:rPr>
                <w:rtl w:val="0"/>
              </w:rPr>
              <w:t xml:space="preserve"> punktā minētie subjekti, kas noslēguši deleģēšanas līgumu ar sadarbības partneri vai finansējuma saņēmēju un piedalās projekta īstenošanā uz deleģējuma līguma pamata, projekta īstenošanas laikā nodrošina interešu konflikta neesamību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juridiskās tehnikas prasībām tiesību normai ir jābūt skaidrai, lai tās lietotājs un piemērotājs gūtu nepārprotamu priekšstatu par normā ietvertajiem pienākumiem un tiesībām. Lai nodrošinātu normas korektu izpratni, lūdzam izteikt noteikumu projekta 48. punktu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lūdzam papildināt arī anotācijas 1.3.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w:t>
            </w:r>
            <w:r w:rsidR="00000000" w:rsidRPr="00000000" w:rsidDel="00000000">
              <w:rPr>
                <w:b w:val="1"/>
                <w:rtl w:val="0"/>
              </w:rPr>
              <w:t xml:space="preserve">Finansējuma saņēmējs un sadarbības partneris</w:t>
            </w:r>
            <w:r w:rsidR="00000000" w:rsidRPr="00000000" w:rsidDel="00000000">
              <w:rPr>
                <w:rtl w:val="0"/>
              </w:rPr>
              <w:t xml:space="preserve"> projekta īstenošanas laikā nodrošina interešu konflikta neesamību saskaņā ar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 </w:t>
            </w:r>
            <w:r w:rsidR="00000000" w:rsidRPr="00000000" w:rsidDel="00000000">
              <w:rPr>
                <w:b w:val="1"/>
                <w:rtl w:val="0"/>
              </w:rPr>
              <w:t xml:space="preserve">kā arī finansējuma saņēmējs, sadarbības partneris un šo noteikumu 19. punktā minētie subjekti, kas noslēguši deleģēšanas līgumu ar sadarbības partneri un piedalās projekta īstenošanā uz deleģēšanas līguma pamata, paraksta interešu konflikta neesamības apliecinājumu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finansējuma saņēmējam organizējot biedrību un nodibinājumu iesaisti projektā ar iepirkuma palīdzību pastāv risks, ka iepirkuma rezultātā uzvarējušie pakalpojuma sniedzēji neatbildīs MKN norādītajai prasībai – biedrībām, nodibinājumiem </w:t>
            </w:r>
            <w:r w:rsidR="00000000" w:rsidRPr="00000000" w:rsidDel="00000000">
              <w:rPr>
                <w:u w:val="single"/>
                <w:rtl w:val="0"/>
              </w:rPr>
              <w:t xml:space="preserve">darbam ar jaunatni</w:t>
            </w:r>
            <w:r w:rsidR="00000000" w:rsidRPr="00000000" w:rsidDel="00000000">
              <w:rPr>
                <w:rtl w:val="0"/>
              </w:rPr>
              <w:t xml:space="preserve">, jo iepirkumā nevar tikt izvirzītas ierobežojošas un konkurenci kropļojošas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apakšsadaļā "Risinājuma apraksts"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finansējuma saņēmējs uzkrāj datus par NEET jauniešu atrašanos izglītībā vai nodarbinātībā vienu, sešus un divpadsmit mēnešus pēc mērķa grupas jaunieša individuālās pasākumu programmas izpildes."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ņemot vērā, ka minēto prasību noteikumu projekts vairs neparedz.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apakšsadaļā "Risinājuma apraksts"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noteikumu projekta 5.1. un 5.2.apakšpunktā noteiktos uzraudzības rādītājus un noteikumu projekta 6.punktā noteikto nacionālo rādītāju, ievērojot Ministru kabineta 2023. gada 21. marta noteikumu Nr. 135 "Eiropas Savienības fondu projektu pārbaužu veikšanas kārtība 2021.–2027. gada plānošanas periodā" noteiktās prasības, ievada Kohēzijas politikas fondu vadības informācijas sistēmā pašvaldību griezumā."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nacionālie rādītāji Kohēzijas politikas fondu vadības informācijas sistēmā tiks ievadīti atbilstoši minēto noteikumu 1. pielikumam, ņemot vērā, ka tajā ir plašs datu uzskaitījums par projekta dalībniekiem, bet dati par nacionālajiem rādītājiem netiks iesniegti Eiropas Komisijā.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apakšsadaļā "Risinājuma apraksts"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mērķa grupas jauniešu profilēšanu pirms individuālās pasākumu programmas izstrādes, kas saskaņā ar noteikumu projekta 2.7.apakšpunktā noteikto ietver mērķa grupas jaunieša izglītības, nodarbinātības, līdzšinējās sabiedriskās darbības pieredzes, interešu un prasmju attīstības vajadzību apzināšanu, kā arī ierobežojošo un citu faktoru identificēšanu, informācija par mērķa grupas jaunieti tiks uzkrāta atbilstoši Eiropas Parlamenta un Padomes 2021. gada 24. jūnija Regulas (ES) Nr. 2021/1057, ar ko izveido Eiropas Sociālo fondu Plus un atceļ Regulu (ES) Nr.1296/2013, 1. pielikumam. Mērķa grupas jaunieša profilēšanai tiks izmantota tikai tāda informācija, ko sniegs pati profilējamā 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minēto rindkopu, ņemot vērā, ka dati saskaņā ar minēto regulu tiek iesniegti Eiropas Komisijā, ievērojot Ministru kabineta 2023. gada 21. marta noteikumu Nr. 135 "Eiropas Savienības fondu projektu pārbaužu veikšanas kārtība 2021.–2027. gada plānošanas periodā" 1. pielikumā noteiktās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apakšsadaļā "Risinājuma apraksts"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iesaistes projektā plānots pārbaudīt jaunieša atbilstību 4.2.3.4.pasākuma mērķa grupai. Pēc tam, kad sadarbības partneris ir saņēmis mērķa grupas jaunieša iesniegumu par vēlmi iesaistīties projektā, sadarbības partneris saskaņā ar sadarbības līgumā, kas noslēgts starp Jaunatnes starptautisko programmu aģentūru kā finansējuma saņēmēju 4.2.3.4.pasākuma ietvaros un sadarbības partneri, noteikto kārtību par datu apstrādi projektā, nodod mērķa grupas jaunieša datus (datu kategorija - vārds, uzvārds, personas kods) Jaunatnes starptautisko programmu aģentūrai atbilstības 4.2.3.4.pasākuma mērķa grupai pārbaudei."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noteikumu projekta 25.1.1.3. apakšpunkta izriet, ka jaunieša atbilstības projekta mērķa grupai pārbaudi veic sadarbības partneris, nevis finansējuma saņēmējs. Lūdzam precizēt anotācijas 1.3. sadaļas apakšsadaļu "Risinājuma apraksts".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sadaļā par sadarbības partnera izmaksu pozīcijām (11.-12.lpp.) precizēt visas redakcijas no "izmantojot vienkāršoto izmaksu metodiku" uz "atbilstoši atbildīgās iestādes apstiprinātajai vienkāršoto izmaksu metodikai, kas saskaņota ar vadošo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8.1.13. apakšsadaļu, ņemot vērā, ka daļa datu tiks uzkrāti arī atbilstoši Eiropas Parlamenta un Padomes 2021. gada 24. jūnija Regulas (ES) 2021/1057, ar ko izveido Eiropas Sociālo fondu Plus (ESF+) un atceļ Regulu (ES) Nr. 1296/2013, I pielikumam un Ministru kabineta 2023. gada 21. marta noteikumu Nr. 135 "Eiropas Savienības fondu projektu pārbaužu veikšanas kārtība 2021.–2027. gada plānošanas periodā" 1. pielikumam.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par kuriem projekta dalībniekiem dati tiks uzkrāti.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w:t>
    </w:r>
    <w:r>
      <w:br/>
    </w:r>
    <w:r w:rsidR="00000000" w:rsidRPr="00000000" w:rsidDel="00000000">
      <w:rPr>
        <w:rtl w:val="0"/>
      </w:rPr>
      <w:t xml:space="preserve">Izdrukāts 22.08.2023. 14.10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w:t>
    </w:r>
    <w:r>
      <w:br/>
    </w:r>
    <w:r w:rsidR="00000000" w:rsidRPr="00000000" w:rsidDel="00000000">
      <w:rPr>
        <w:rtl w:val="0"/>
      </w:rPr>
      <w:t xml:space="preserve">Izdrukāts 22.08.2023. 14.10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Atzinumi_23-TA-139.docx</dc:title>
</cp:coreProperties>
</file>

<file path=docProps/custom.xml><?xml version="1.0" encoding="utf-8"?>
<Properties xmlns="http://schemas.openxmlformats.org/officeDocument/2006/custom-properties" xmlns:vt="http://schemas.openxmlformats.org/officeDocument/2006/docPropsVTypes"/>
</file>