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finansēšanas un administrēšanas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Nacionālo veselības apdrošināšanas fondu (turpmāk – Fonds), savukārt anotācijā sniegtā informācija neliecina, ka tā izveide nodrošinās kvalitatīvāku veselības aprūpes pakalpojumu sniegšanu iedzīvotājiem salīdzinājumā ar esošo sistēmu.   Fonda finansējumam pamatā plānots transferts no valsts pamatbudžeta dotācijas no vispārējiem ieņēmumiem, nesniedzot skaidru priekšstatu par ieguvumiem no Fonda izveides un priekšrocībām salīdzinājumā ar esošo sistēmu,  līdz ar to  attiecīgi precizējams likumprojekts un papildināma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četrus procentus no iekšzemes kopprodukta. Finansējums nedrīkst būt mazāks kā iepriekšējā gadā, izņemot to finansējumu, kas piešķirts uz noteiktu laiku specifiskam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likumprojekta 4. panta otro daļu. Atbilstoši Satversmes tiesas 2020. gada 29. oktobra spriedumam lietā Nr. 2019-29-01, Augstskolu likuma 78. panta septītā daļa tika atzīta par neatbilstošu Latvijas Republikas Satversmes 1. pantam un 66. panta pirmajam teikumam. Satversmes tiesa vērsa likumdevēja uzmanību uz to, ka arī vairākos citos likumos iekļautas Augstskolu likuma 78. panta septītajai daļai līdzīgas normas. Šādu normu saglabāšana, ja Saeima valsts budžeta lemšanas laikā tās atstāj bez ievērības, rada visupirms nesaderību ar gadskārtējo valsts budžeta likumu, kā arī pamatotas šaubas par to satversmību. Pamatojoties uz iepriekš minēto,  likumprojektā nav iekļaujamas normas bez finansiālā seguma to īstenošanai. Latvijas Republikas Satversmes 66. pants nosaka pamatprincipu, ja Saeima pieņem lēmumu, kurš saistīts ar budžetā neparedzētiem izdevumiem, tad lēmumā jāparedz arī līdzekļi, ar kuriem segt šos izdevumus. Likumprojekti virzāmi apstiprināšanai tikai tad, ja valsts budžetā tam ir paredzēts finansējums, par nepieciešamo finansējumu turpmākajiem gadiem lemjot valsts budžeta likumprojekta izskatīšanas procesā. Savukārt, ja tiktu pieņemts lēmums par izdevumu samazināšanas pasākumiem, tad arī tas būtu skatāms valsts budžeta likumprojekta sagatavošanas procesā, vērtējot katras nozares izdevumus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Klinsone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Fonda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17.pantā pirmās daļas 6.punktā norādīts, ka Fonda finansēšanas avots var būt arī aizņēmumi. Uzskatām, ka minētais finansēšanas avots nav atbalstāms, jo Fondam nepieciešamais finansējums pamatā tiks nodrošināts, saņemot transfertu no valsts pamatbudžeta dotācijas no vispārējiem ieņēmumiem, tātad arī aizņēmuma atmaksa tiks veikta no tā paša avota, turklāt Fondam piesaistot aizņēmumu kredītiestādē vai Valsts kasē un izlietojot piesaistītos līdzekļus, tiks palielināti vispārējās valdības budžeta izdevumi un attiecīgi veidosies negatīva ietekme uz vispārējās valdības budžeta bilanci. Ņemot vērā minēto, precizējams likumprojekts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makroekonomiskā rezerve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20.pants paredz Fonda makroekonomiskās rezerves veidošanu, kas atbilstoši pārejas noteikumu 3.punktam stājas spēkā 2031.gada 1.janvārī, kā arī likumprojekta 21.pants paredz veidot riska rezervi pēc tam, kad likumprojekts būs stājies spēkā. Nav atbalstāms, ka likumprojektā tiek iestrādātas normas, kas paredz rezervju veidošanu, kamēr finansējums veselības aprūpes pakalpojumu finansēšanai nav pietiekams un pastāv iedzīvotāju rindas uz veselības aprūpes pakalpojumu saņemšanu, veidojas pārstrādes stacionārajām ārstniecības iestādēm, līdzekļu deficīts kompensējamiem medikamentiem u.c. Ņemot vērā minēto, precizējams likumprojekts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punkta “Cita informācija” 3.rindkopas otro teikumu, norādot, ka Fondam no valsts budžeta paredzētais finansējums tiks nodrošināts Veselības ministrijas budžetā paredzētā finansējuma ietvaros, attiecīgi svītrojot anotācijas 3.sadaļā tabulu un norādot, ka likumprojektam nav ietekmes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17.02.2025.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17.02.2025.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