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524 "Kārtība, kādā nosaka, aprēķina un uzskaita katra dzīvojamās mājas īpašnieka maksājamo daļu par dzīvojamās mājas uzturēšanai nepieciešamajiem pakalpojumiem"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  <w:r w:rsidR="00000000" w:rsidRPr="00000000" w:rsidDel="00000000">
              <w:rPr>
                <w:vertAlign w:val="superscript"/>
                <w:rtl w:val="0"/>
              </w:rPr>
              <w:t xml:space="preserve">5</w:t>
            </w:r>
            <w:r w:rsidR="00000000" w:rsidRPr="00000000" w:rsidDel="00000000">
              <w:rPr>
                <w:rtl w:val="0"/>
              </w:rPr>
              <w:t xml:space="preserve"> Pārvaldnieks, sagatavojot rēķina informāciju par komunālajiem pakalpojumiem un enerģijas patēriņu dzīvojamā mājā ar dalīto uzskaiti, iekļauj pamatotas rēķina sagatavošanas izmaksas.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Eiropas Parlamenta un Padomes 2023.gada 13.septembra direktīvas (ES) 2023/1791 par energoefektivitāti un ar ko groza Regulu (ES) 2023/955 (pārstrādātā redakcija) (turpmāk - Direktīva 2023/1791) 20.panta 1. punkts nosaka - </w:t>
            </w:r>
            <w:r w:rsidR="00000000" w:rsidRPr="00000000" w:rsidDel="00000000">
              <w:rPr>
                <w:i w:val="1"/>
                <w:rtl w:val="0"/>
              </w:rPr>
              <w:t xml:space="preserve">dalībvalstis nodrošina, lai rēķinus un rēķinu informāciju par enerģijas patēriņu galaizmantotāji saņemtu bez maksas un lai galaizmantotāji pienācīgā veidā un bez maksas varētu piekļūt saviem patēriņa datiem. </w:t>
            </w:r>
            <w:r w:rsidR="00000000" w:rsidRPr="00000000" w:rsidDel="00000000">
              <w:rPr>
                <w:rtl w:val="0"/>
              </w:rPr>
              <w:t xml:space="preserve">Līdzīgi Energoefektivitātes likuma 16. panta pirmā daļa nosaka </w:t>
            </w:r>
            <w:r w:rsidR="00000000" w:rsidRPr="00000000" w:rsidDel="00000000">
              <w:rPr>
                <w:i w:val="1"/>
                <w:rtl w:val="0"/>
              </w:rPr>
              <w:t xml:space="preserve">elektroenerģijas, dabasgāzes, siltumenerģijas, dzesēšanai izmantojamās enerģijas tirgotājiem, nepieprasot atsevišķu samaksu, galalietotājam nodrošināt iespēju saņemt, arī elektroniski, rēķinu, rēķina informāciju [...]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 papildināt ar 3.</w:t>
            </w:r>
            <w:r w:rsidR="00000000" w:rsidRPr="00000000" w:rsidDel="00000000">
              <w:rPr>
                <w:vertAlign w:val="superscript"/>
                <w:rtl w:val="0"/>
              </w:rPr>
              <w:t xml:space="preserve">6</w:t>
            </w:r>
            <w:r w:rsidR="00000000" w:rsidRPr="00000000" w:rsidDel="00000000">
              <w:rPr>
                <w:rtl w:val="0"/>
              </w:rPr>
              <w:t xml:space="preserve"> punktu vai papildināt 23.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ar apakšpunktu, nosakot pārvaldniekam pienākumu sniegt rēķina informāciju par komunālajiem pakalpojumiem bez atsevišķas samaksas, papildināto iekļaujot arī anotācijas 5.sadaļā, vai sniegt skaidrojumu, kā tiks transponētas šīs Direktīvas 2023/1791 normas.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Kristiāna Paula Dzene (KEM)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25-TA-509</w:t>
    </w:r>
    <w:r>
      <w:br/>
    </w:r>
    <w:r w:rsidR="00000000" w:rsidRPr="00000000" w:rsidDel="00000000">
      <w:rPr>
        <w:rtl w:val="0"/>
      </w:rPr>
      <w:t xml:space="preserve">Izdrukāts 07.05.2025.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25-TA-509</w:t>
    </w:r>
    <w:r>
      <w:br/>
    </w:r>
    <w:r w:rsidR="00000000" w:rsidRPr="00000000" w:rsidDel="00000000">
      <w:rPr>
        <w:rtl w:val="0"/>
      </w:rPr>
      <w:t xml:space="preserve">Izdrukāts 07.05.2025.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