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Nacionālais radiofrekvenču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atļautie radiotraucējumi</w:t>
            </w:r>
            <w:r w:rsidR="00000000" w:rsidRPr="00000000" w:rsidDel="00000000">
              <w:rPr>
                <w:rtl w:val="0"/>
              </w:rPr>
              <w:t xml:space="preserve"> – novēroti vai paredzēti radiotraucējumi, kuri nepārsniedz radiotraucējumu un radiofrekvenču koplietošanas skaitliskos kritērijus, kādi noteikti saskaņā ar Starptautiskās Telesakaru savienības (ITU) konstitūcijai un konvencijai pievienotajiem Radionoteikumiem vai Starptautiskās Telesakaru savienības rekomendācijām, vai Starptautiskās Telesakaru savienības Radionoteikumos paredzēto īpašo vienošanos;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ietvertas atsauces uz Starptautiskās Telesakaru savienības (ITU) konstitūciju un konvencijai pievienotajiem Radionoteikumiem, Starptautiskās Telesakaru savienības rekomendācijām, Starptautiskās Telesakaru savienības Radionoteikumos paredzēto īpašo vienošanos (sk., piemēram, noteikumu projekta 2.3. apakšpunktu). Savukārt 1. pielikumā iekļautas atsauces uz Reģionālo nolīgumu attiecībā uz frekvenču lietošanu apraides dienestā vidējo frekvenču joslās I un III reģionā un zemo frekvenču joslās I reģionā (Ženēva, 1975). Projekta 1. pielikumā arī iekļautas atsauces uz Starptautiskās telesakaru savienības Radionoteikumiem, savukārt 3. pielikumā ietverta atsauce uz "ECC 272. ziņojumu", kā arī "ECC/DEC(09)04" (turklāt nelietojot pilnu dokumenta nosaukumu), kuri nav ietverti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anotācijā skaidrot, vai minētie starptautiskie dokumenti ir juridiski saistoši Latvijai, kā arī skaidrot dokumentu pieejamību un saistošo raksturu attiecībā uz privātpersonām. Norādām, ka starptautiskās normas, kas nav tulkotas latviešu valodā un publicētas oficiālajā izdevumā  "Latvijas Vēstnesis", nav piemērojamas attiecībā uz privātpersonām. Atkārtoti arī vēršam uzmanību, ka ārējos normatīvajos aktos nav ietveramas atsauces uz privātpersonām nesaistošiem dokumentiem. Attiecīgi lūdzam sniegt skaidrojumu anotācijā par minētajiem dokumentiem vai svītrot atsauces un nepieciešamības gadījumā dokumentu attiecīgās prasības pārņemt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konstatējot konkrētas starptautiskās saistības, lūdzam papildināt projekta anotācijas 5. sadaļu saskaņā ar Ministru kabineta 2021. gada 7. septembra noteikumu Nr. 617 "Tiesību akta projekta sākotnējās ietekmes izvērtēšanas kārtība" 9.19.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Radiofrekvenču joslu, kura nav iedalīta noteiktai radiosakaru sistēmai, var izmantot tikai pēc šīs radiofrekvenču joslas izmantošanas nosacījumu un elektromagnētiskās saderības nodrošināšanai nepieciešamo radiosaskarņu un atbilstošās radiosakaru sistēmas iekļaušanas radiofrekvenču plānā, saskaņā ar šo noteikumu radiofrekvenču spektra joslu sadalījumu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8. punktā konkretizēt atsauci, norādot uz konkrētu noteikumu vienību, kurā ietverts radiofrekvenču spektra joslu sadalījums un izmantošana, un izteikt to, piemēram, šādi: "saskaņā ar šo noteikumu [..] noteikto radiofrekvenču spektra joslu sadalījumu un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Aizsardzības ministrijai un Nacionālajiem bruņotajiem spēkiem ir tiesības pieprasīt radiofrekvences piešķīrumus valsts aizsardzības vajadzībām nepieciešamajiem privātajiem elektronisko sakaru tīkliem arī radiofrekvenču joslās, kuras nav paredzētas AS vai AS un CS, ievērojot normatīvos aktus par radiofrekvenču lietošanu un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atsauces uz normatīvo aktu jomu noteikumu projekta 18. punktā un 20. punktā veidotas dažādi, kaut, šķiet, attiecas uz vienu un to pašu normatīvo aktu jomu. Attiecīgi lūdzam izvērtēt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Eiropas Savienībā ražotā vai reģistrētā un ekspluatācijā nodotā automobilī uzstādītām SRR iekārtām pēc 2013. gada 30. jūnija 21,65–24,25 GHz radiofrekvenču joslai un pēc 2018. gada 1. janvāra 24,25–26,65 GHz radiofrekvenču joslai noteiktais iedalījums ir atļauts, ja SRR iekārta ir uzstādīta pirms minētajiem datumiem vai to aizstāj ar citu SRR iekārtu. 24,25–26,65 GHz frekvenču joslas iedalījums SRR iekārtām, kuru uzstādīšana apstiprināta līdz 2018. gada 1. janvārim, ir spēkā līdz 2022. gada 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36. punkta 2. teikuma aktualitāti un nepieciešamību un skaidrot to anotācijā vai arī teikumu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28 MHz frekvenču bloku 3600-3650 MHz frekvenču bloka ietvaros Latvijas Republikas teritorijā, izņemot Rīgu, lieto atbilstoši radiosaskarnei LM.3600-1 TDD, līdz 2025. gada 6. maijam Sabiedrisko pakalpojumu regulēšanas komisijas piešķirto lietošanas tiesību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noteikumu projekta 38. punkta nepieciešamību, kā arī atbilstību anotācijā minētajam SPRK 2010. gada 7. maija lēmumam Nr.171 "Par radiofrekvenču spektra joslu 3600MHz – 3700MHz / 3700MHz – 3800MHz viena 14MHz plata radiokanālu lietošanas tiesībām izsoles uzvarētājam", ņemot vērā, ka lēmums paredz piešķirt SIA "Telia Latvija" radiofrekvenču spektra joslu 3600 MHz – 3700 MHz / 3700 MHz – 3800 MHz viena 14 MHz plata radiokanāla lietošanas tiesības komercdarbībai Latvijas Republikas teritorijā, izņemot Rīgu, līdz 2025. gada 6. maijam, savukārt projekta 38. punkts regulē </w:t>
            </w:r>
            <w:r w:rsidR="00000000" w:rsidRPr="00000000" w:rsidDel="00000000">
              <w:rPr>
                <w:u w:val="single"/>
                <w:rtl w:val="0"/>
              </w:rPr>
              <w:t xml:space="preserve">28 MHz frekvenču bloku 3600-3650 MHz frekvenču bloka ietvaros</w:t>
            </w:r>
            <w:r w:rsidR="00000000" w:rsidRPr="00000000" w:rsidDel="00000000">
              <w:rPr>
                <w:rtl w:val="0"/>
              </w:rPr>
              <w:t xml:space="preserve"> Latvijas Republikas teritorijā, izņemot Rīgu, lietošanu. Lūdzam skaidrot arī, kā norma ietekmē vai neietekmē minēto komersantu un tā jau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Radiosaskarnes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pielikumā 17. sadaļā (17. LM-900-1) attiecībā uz kanāla piekļuves un lietošanas noteikumiem ietverta norāde: "Atkarībā no apstākļiem valstī tādu zemes sistēmu ierīkošanā, kas spēj nodrošināt elektronisko sakaru pakalpojumus, un dzelzceļa mobilo radiosistēmu ierīkošanā var piemērot 200 kHz frekvenču atdalījumu starp šo sistēmu kanāla nominālajām malām pie 925 MHz frekvenču robežas šādos gadījumos: [..]". Lūdzam anotācijā izvērstāk skaidrot normas piemērošanu, īpaši to, par kādiem apstākļiem valstī ir runa. Ja nepieciešams, aicinām precizēt normu, lai nodrošināt skaidru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Koplietojama radiofrekvences piešķīruma lietošanas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pielikumā ietverta informācija par noteikumu atbilstību starptautiskajiem radiofrekvenču spektra izmantošanas nosacījumiem, tostarp Eiropas Komisijas lēmumiem, un, kā minēts anotācijā, 4. pielikumam, kā arī atsaucēm citviet noteikumu projektā uz 4. pielikuma vienībām, ir informatīva nozīme. Vēršam uzmanību, ka projekta 3. pielikumā vēl ir ietverta atsauce uz Eiropas Komisijas lēmumu: "atbilstoši EK Lēmuma 2006/804/EK noteikumiem līdz dienai pirms atcelšanas datuma". Lūdzam atsauci svītrot un tā vietā norādīt konkrētu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"Ar šo Noteikumu projektu tiek pārņemti seši ES Īstenošanas lēmumi, kuri aprakstīti šīs anotācijas 5. sadaļā." Aicinām precizēt, ņemot vērā, ka noteikumu projekts ir jaunu Ministru kabineta noteikumu projekts un tajā pārņemti arī jau Noteikumos Nr. 1151 pārņemtie lēmumi.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dažviet informācija ietverta dubultā (sk., piemēram, skaidrojumu par projekta 37. punktu (38. punktu)). Attiecīgi aicinām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minēts: "Noteikumu projektā ietvertas atsauces uz Eiropas Savienības direktīvām, kuras detālāk aprakstītas anotācijas 5.sadaļā." Lūdzam precizēt informāciju, norādot, ka noteikumu projektā ietvertas </w:t>
            </w:r>
            <w:r w:rsidR="00000000" w:rsidRPr="00000000" w:rsidDel="00000000">
              <w:rPr>
                <w:u w:val="single"/>
                <w:rtl w:val="0"/>
              </w:rPr>
              <w:t xml:space="preserve">informatīvās</w:t>
            </w:r>
            <w:r w:rsidR="00000000" w:rsidRPr="00000000" w:rsidDel="00000000">
              <w:rPr>
                <w:rtl w:val="0"/>
              </w:rPr>
              <w:t xml:space="preserve"> atsauces uz Eiropas Savienības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dažviet minēts noteikumu projekts "Radiofrekvences piešķīruma lietošanas atļauju noteikumi" (22-TA-2498). Saistībā ar minēto projektu aicinām izvērtēt nepieciešamību aizpildīt anotācijas 4. sadaļu, ja projekts ir saistītais tiesību akta projekts, vai 4.2.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22-TA-1822</w:t>
    </w:r>
    <w:r>
      <w:br/>
    </w:r>
    <w:r w:rsidR="00000000" w:rsidRPr="00000000" w:rsidDel="00000000">
      <w:rPr>
        <w:rtl w:val="0"/>
      </w:rPr>
      <w:t xml:space="preserve">Izdrukāts 23.11.2022.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22-TA-1822</w:t>
    </w:r>
    <w:r>
      <w:br/>
    </w:r>
    <w:r w:rsidR="00000000" w:rsidRPr="00000000" w:rsidDel="00000000">
      <w:rPr>
        <w:rtl w:val="0"/>
      </w:rPr>
      <w:t xml:space="preserve">Izdrukāts 23.11.2022.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Atzinumi_22-TA-1822.docx</dc:title>
</cp:coreProperties>
</file>

<file path=docProps/custom.xml><?xml version="1.0" encoding="utf-8"?>
<Properties xmlns="http://schemas.openxmlformats.org/officeDocument/2006/custom-properties" xmlns:vt="http://schemas.openxmlformats.org/officeDocument/2006/docPropsVTypes"/>
</file>