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saskaņā ar noteikumu projektā no jauna iekļauto 34.punktu neveidojas administratīvais slogs Veselības inspekcijai, kurai būs jāuztur informācija par ūdens piegādātāju izstrādātajām monitoringa programmām. Gadījumā, ja ietekme ir, lūdzam papildināt noteikumu projekta anotācijas 7.sadaļu.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13.06.2023.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13.06.2023.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