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24-TA-749: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21. novembra noteikumos Nr. 714 "Kārtība, kādā notiek preču iznīcināšana vai atteikšanās no precēm par labu valstij"</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5.4. apakšsadaļas 1. tabulu, ņemot vērā, ka, skaidrojot no Eiropas Savienības tiesību aktiem izrietošo rīcības brīvību, norāda ne tikai, kā ir izmantota Eiropas Savienības tiesību aktā paredzētā rīcības brīvība dalībvalstij pārņemt vai ieviest noteiktas Eiropas Savienības tiesību akta normas, bet arī </w:t>
            </w:r>
            <w:r w:rsidR="00000000" w:rsidRPr="00000000" w:rsidDel="00000000">
              <w:rPr>
                <w:u w:val="single"/>
                <w:rtl w:val="0"/>
              </w:rPr>
              <w:t xml:space="preserve">kādēļ</w:t>
            </w:r>
            <w:r w:rsidR="00000000" w:rsidRPr="00000000" w:rsidDel="00000000">
              <w:rPr>
                <w:rtl w:val="0"/>
              </w:rPr>
              <w:t xml:space="preserve">. Vēršam uzmanību, piemēram, uz anotācijā ietverto Komisijas 2015. gada 28. jūlija Deleģētās regulas (ES) 2015/2446, ar ko papildina Eiropas Parlamenta un Padomes Regulu (ES) Nr. 952/2013 attiecībā uz sīki izstrādātiem noteikumiem, kuri attiecas uz dažiem Savienības Muitas kodeksa noteikumiem 175. panta 3. punkta skaidrojumu, kur tiek vienkārši uzskaitīta iesniedzamā informācija, nekonkretizējot un nepamatojot to, kāpēc noteikta nepieciešamība tieši pēc šādas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24-TA-749</w:t>
    </w:r>
    <w:r>
      <w:br/>
    </w:r>
    <w:r w:rsidR="00000000" w:rsidRPr="00000000" w:rsidDel="00000000">
      <w:rPr>
        <w:rtl w:val="0"/>
      </w:rPr>
      <w:t xml:space="preserve">Izdrukāts 02.08.2024.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24-TA-749</w:t>
    </w:r>
    <w:r>
      <w:br/>
    </w:r>
    <w:r w:rsidR="00000000" w:rsidRPr="00000000" w:rsidDel="00000000">
      <w:rPr>
        <w:rtl w:val="0"/>
      </w:rPr>
      <w:t xml:space="preserve">Izdrukāts 02.08.2024.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Atzinumi_24-TA-749.docx</dc:title>
</cp:coreProperties>
</file>

<file path=docProps/custom.xml><?xml version="1.0" encoding="utf-8"?>
<Properties xmlns="http://schemas.openxmlformats.org/officeDocument/2006/custom-properties" xmlns:vt="http://schemas.openxmlformats.org/officeDocument/2006/docPropsVTypes"/>
</file>