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w:t>
            </w:r>
            <w:r w:rsidR="00000000" w:rsidRPr="00000000" w:rsidDel="00000000">
              <w:rPr>
                <w:vertAlign w:val="superscript"/>
                <w:rtl w:val="0"/>
              </w:rPr>
              <w:t xml:space="preserve">1</w:t>
            </w:r>
            <w:r w:rsidR="00000000" w:rsidRPr="00000000" w:rsidDel="00000000">
              <w:rPr>
                <w:rtl w:val="0"/>
              </w:rPr>
              <w:t xml:space="preserve">) rūpnieciskie apaļkoki - apaļie kokmateriāli, kas atbilst standartos apaļkoku kvalitātes noteikšanas jomā, standartos zāģmateriālu un konstrukciju kokmateriālu kvalitātes noteikšanas jomā vai standartos saplākšņu un finieru vērtētēšanas jomā noteiktajām visu sugu zāģbaļķu, finierkluču, stabu, mietu, būvbalķu un taras kluču kvalitātes prasībām, kā arī citi apaļkoki, kas ir derīgi rūpnieciskai izmantošanai, izņemot apaļkokus, kuru raksturlielumi, piemēram, suga, izmēri, taisnums un zarainums, tos dara nederīgus rūpnieciskai izmantošanai, un kuri neatbilst standartos apaļkoku kvalitātes noteikšanas jomā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atsauces uz standartiem normatīvajos aktos izdarāmas atbilstoši Standartizācijas likuma 13. panta prasībām, proti, ja tiek izdarīta netieša atsauce uz standartiem, tad tiesību akta tekstā jāsniedz norāde uz piemērojamajiem standartiem kā iespējamo risinājumu tiesību akta prasību izpildei* vai alternatīvi izdarāma atsauce uz obligātajiem standartiem, bet šādā gadījumā likumprojektā šie standarti arī konkrēti jānorāda vai anotācijā jāskaidro, kādā normatīvajā aktā minētie standarti ir ietverti. Konkrētajā gadījumā likumprojekta 1. pantā pirmšķietami atsauce izdarīta uz obligātajiem standartiem, tādēļ likumprojekts atbilstoši precizējams vai sniedzams attiecīgs skaidrojums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 Lietojot netiešās atsauces, tiek rekomendēta standartu brīvprātīga pielietošana, lai izpildītu tiesību aktā noteiktās obligātās prasības;  gadījumā, ja šie standarti netiek piemēroti, personai, kas izvēlējusies izmantot alternatīvu risinājumu, ir jāpierāda, ka tās tehniskais izpildījuma rezultāts nav sliktāks par to, kas ir noteikts standartos, proti, ļauj izpildīt tiesību aktā noteiktās būtiskās prasības  (sīkāk, kā atsaukties uz standartiem sk., piem., https://m.juristavards.lv/wwwraksti/JV/BIBLIOTEKA/PRAKSES_MATERIALI/ATSAUCES%20UZ%20STANDARTIEM%20TIESIBU%20AKTOS__2022.PDF)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Vienotais dabasgāzes pārvades un uzglabāšanas sistēmas operators ar izcelsmes apliecinājuma izdošanu un citām ar izcelsmes apliecinājumu reģistra darbībām saistīto izmaksu kompensēšanai var pieprasīt maksu. Iekārtām, kuru jauda ir mazāka par 50 kilovatiem (kW) un atjaunīgās enerģijas kopienām maksai par izcelsmes apliecinājuma izsniegšanu piemēro atlaidi 50 procentu apmērā. Vienotais dabasgāzes pārvades un uzglabāšanas sistēmas operators izstrādā un publicē savā tīmekļvietnē maksas aprēķināšanas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11. punktā ietverto iebildumu atkārtoti lūdzam skaidrot, kā paredzēts pārņemt Eiropas Parlamenta un Padomes 2023. gada 18. oktobra Direktīvas (ES) 2023/2413, ar ko attiecībā uz atjaunīgo energoresursu enerģijas izmantošanas veicināšanu groza Direktīvu (ES) 2018/2001, Regulu (ES) 2018/1999 un Direktīvu 98/70/EK un atceļ Padomes Direktīvu (ES) 2015/652 (turpmāk - direktīva Nr. 2023/2413), 1. panta 9. punkta "a" apakšpunkta "ii" apakšpunktā izteiktajā direktīvas Nr. 2018/2001 19. panta 2. punkta trešajā daļā ietverto prasību ieviest vienkāršotus reģistrācijas procesus, līdztekus samazinātai reģistrācijas maksai, un nepieciešamības gadījumā papildinot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17. punktā ietverto iebildumu un atkārtoti lūdzam papildināt likumprojekta anotācijas 5. sadaļu ar informāciju par attiecīgo direktīvas Nr. 2023/2413 normu pārņemšanu, tostarp arī direktīvas Nr. 2023/2413 1. panta "9" punkta "b" apakšpunktā izteikto direktīvas Nr. 2018/2001 19. panta 4. punkta otrā teikuma pārņemšanu, par ko informācija no likumprojekta anotācijas saskaņošanas ietvaros svītrota (arī 1.panta "9" punkta "c" apakšpunktā izteiktais direktīvas Nr. 2018/2001 19. panta 7. punkta "a" apakšpunkta "ii" punkts). Nepieciešamības gadījumā, ja konkrētas minētās direktīvas normas ir attiecināmas uz citu jomu (proti, neattiecas uz enerģētikas jomu), lūdzam to anotācijas 5. sadaļā norādīt, tostarp arī skaidrojot, kādos normatīvajos aktos būs nepieciešams izdarīt grozījumus, lai direktīvas prasības pārņemtu pilnībā, kādā termiņā grozījumi iesniedzami Ministru kabinetā un kura ir atbildīgā institūcija par grozījumu sagatavošanu. Norādām, ka informācija par izziņas 17. punktā ietvertajā iebildumā minēto direktīvas normu pārņemšanu nav atrodama arī 2024. gada 13. jūnija likuma "Grozījumi Enerģētikas likumā" anotācijā, līdz ar to nav saprotams, kā attiecīgās normas tiks pārņemtas. Vienlaikus norādām, ka minētās direktīvas pārņemšanas termiņš, proti, 2025. gada 21. maijs, ir salīdzinoši īss, jo īpaši, ja ņem vērā, ka attiecīgās prasības ir jāpārņem savlaicīgi, tostarp arī ar likuma regulējumu, turklāt vairākas minētās direktīvas prasības bija jāpārņem līdz 2024. gada 1. jūlijam (sk. direktīvas Nr. 2023/2413 5. panta 1. punkta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Iestādes, izstrādājot attiecīgos tiesību aktus nacionālo atbalsta shēmu no biodegvielām, bioloģiskajiem šķidrajiem kurināmajiem un biomasas kurināmajiem vai biomasas degvielām ražotās enerģijas izmantošanai nosacījumu noteikšanai, minētās atbalsta shēmas izstrādā tā, lai nestimulētu neilgtspējīgus ražošanas un izmantošanas paņēmienus un nekropļotu konkurenci ar materiālu nozarēm, lai nodrošinātu, ka koksnes biomasa tiek izmantota atbilstoši tās augstākajai ekonomiskajai un vidiskajai pievienotajai vērtībai, ievērojot šādu kaskadēšanas principa prioritāšu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koksnes materiālu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koksnes materiālu produktu kalpošanas laika pagarināšana;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atkalizmantošana;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enerģijas ražošana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apglabāšana vai noglabāšana, kā arī iznīcināšana.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sestajā daļā minētās iestādes, izstrādājot minētos atbalsta shēmu nosacījumus, var tajos neievērot kaskadēšanas principa prioritāšu secību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tas vajadzīgs, lai nodrošinātu enerģijas piegādes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vietējā rūpniecība kvantitatīvi vai tehniski nespēj izmantot meža biomasu atbilstoši ekonomiskajai un vidiskajai pievienotajai vērtībai, kas ir lielāka nekā enerģijas ražošanai, attiecībā uz šādām izejvielām: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meža biomasas izejvielas, kas iegūtas tādās mežu apsaimniekošanas darbībās kā jaunaudžu kopšana vai meža ugunsgrēku seku likvidēšana;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meža biomasas izejvielas, kas iegūtas sanitārajās cirtēs vai kopšanas cirtēs;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meža biomasas izejvielas, kuras raksturlielumu dēļ nav ekonomiski pamatotas izmantošanai un piemērotas Latvijas kokapstrādes nozares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meža biomasas izejvielas, kas iegūtas no lauksaimniecībā izmantotajām zemēm un krūmājiem.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sestajā daļā minētā iestāde attiecīgā tiesību akta par atbalsta shēmu sākotnējās ietekmes novērtējuma ziņojumā (anotācijā) izskaidro, kā un kāpēc tiek piemērotas šā panta septītajā daļā minētās atkāpes kaskadēšanas principa piemērošanas secībai, un pēc konkrētā tiesību akta spēkā stāšanos par to informē Klimata un enerģētikas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katru gadu līdz 15.martam apkopo šā panta astotajā daļā minēto informāciju un iesniedz Eiropas Komisijā kopsavilkumu par šā panta septītajā daļā minētajiem lēmumiem neievērot šā panta sestajā daļā noteikto meža biomasas izmantojuma kaskadēšanas principu, iekļaujot informāciju par šī principa neievērošanas apsvērumiem un ģeogrāfisko mērogu, uz kādu tās 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Iestādes, izstrādājot atbalsta shēmas no biodegvielām, bioloģiskajiem šķidrajiem kurināmajiem un biomasas kurināmajiem vai biomasas degvielām ražotās enerģijas izmantošanai, komercdarbības atbalsta ietvaros nepieņem lēmumu par tieša finansiāla atbalsta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zāģbaļķu, finierkluču, rūpniecisko apaļkoku, celmu un sakņu izmantošanai enerģijas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atkritumu reģenerācijai, ja vien nav izpildīti normatīvajos aktos par atkritumu apsaimniekošanu noteiktie dalītās savākšanas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Jaunas atbalsta shēmas nevar tikt izstrādātas vai esošās atbalsta shēmas nevar atjaunot elektroenerģijas ražošanai no meža biomasas iekārtās, kurās ražo tikai elektroenerģiju, izņemot, ja šāda elektroenerģijas ražošana neatbilst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 tiek ražota reģionā, kas ir iekļauts Latvijas vai citas Eiropas Savienības dalībvalsts teritoriālajā taisnīgas pārkārtošanās plānā, kurš sagatavots saskaņā ar Eiropas Parlamenta un Padomes 2021.gada 24.jūlija regulas (ES) 2021/1056, ar ko izveido Taisnīgas pārkārtošanās fondu 11. pantu,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tiek ražota iekārtās, kurās ir uzstādītas biomasas oglekļa emisiju uztveršanas iekārtas un tiek nodrošināta uztvertā oglekļa emisiju atkalizmantošana vai uzglabāšana vai noglabāšana un saražotā elektroenerģija atbilst šā likuma 58.</w:t>
            </w:r>
            <w:r w:rsidR="00000000" w:rsidRPr="00000000" w:rsidDel="00000000">
              <w:rPr>
                <w:vertAlign w:val="superscript"/>
                <w:rtl w:val="0"/>
              </w:rPr>
              <w:t xml:space="preserve">9</w:t>
            </w:r>
            <w:r w:rsidR="00000000" w:rsidRPr="00000000" w:rsidDel="00000000">
              <w:rPr>
                <w:rtl w:val="0"/>
              </w:rPr>
              <w:t xml:space="preserve"> panta pirmās daļas 4.punktā minētajiem elektroenerģijai piemērojamiem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aicinām pārformulēt likumprojekta 6. pantā ietverto Enerģētikas likuma 58.</w:t>
            </w:r>
            <w:r w:rsidR="00000000" w:rsidRPr="00000000" w:rsidDel="00000000">
              <w:rPr>
                <w:vertAlign w:val="superscript"/>
                <w:rtl w:val="0"/>
              </w:rPr>
              <w:t xml:space="preserve">11</w:t>
            </w:r>
            <w:r w:rsidR="00000000" w:rsidRPr="00000000" w:rsidDel="00000000">
              <w:rPr>
                <w:rtl w:val="0"/>
              </w:rPr>
              <w:t xml:space="preserve"> panta 11. daļu, izvairoties no atkārtotas nolieguma formas lietojuma ("(..) shēmas (..) </w:t>
            </w:r>
            <w:r w:rsidR="00000000" w:rsidRPr="00000000" w:rsidDel="00000000">
              <w:rPr>
                <w:u w:val="single"/>
                <w:rtl w:val="0"/>
              </w:rPr>
              <w:t xml:space="preserve">nevar</w:t>
            </w:r>
            <w:r w:rsidR="00000000" w:rsidRPr="00000000" w:rsidDel="00000000">
              <w:rPr>
                <w:rtl w:val="0"/>
              </w:rPr>
              <w:t xml:space="preserve"> atjaunot (..) izņemot, ja (..) ražošana </w:t>
            </w:r>
            <w:r w:rsidR="00000000" w:rsidRPr="00000000" w:rsidDel="00000000">
              <w:rPr>
                <w:u w:val="single"/>
                <w:rtl w:val="0"/>
              </w:rPr>
              <w:t xml:space="preserve">neatbilst</w:t>
            </w:r>
            <w:r w:rsidR="00000000" w:rsidRPr="00000000" w:rsidDel="00000000">
              <w:rPr>
                <w:rtl w:val="0"/>
              </w:rPr>
              <w:t xml:space="preserve"> vismaz vienam no šādiem nosacījumiem"), tā vietā norādot, kādos gadījumos jaunas atbalsta shēmas var tikt izstrādātas vai esošās atbalsta shēmas var atjaunot elektroenerģijas ražošanai no meža biomasas iekārtās, kurās ražo tikai elektroenerģiju, kā arī norādot, kādiem nosacījumiem jāatbilst elektroenerģijas ražošanai.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Vienotais dabasgāzes pārvades un uzglabāšanas sistēmas operators ar izcelsmes apliecinājuma izdošanu un citām ar izcelsmes apliecinājumu reģistra darbībām saistīto izmaksu kompensēšanai var pieprasīt maksu. Iekārtām, kuru jauda ir mazāka par 50 kilovatiem (kW) un atjaunīgās enerģijas kopienām maksai par izcelsmes apliecinājuma izsniegšanu piemēro atlaidi 50 procentu apmērā. Vienotais dabasgāzes pārvades un uzglabāšanas sistēmas operators izstrādā un publicē savā tīmekļvietnē maksas aprēķināšanas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likumprojektā lietot vienveidīgu izteiksmi attiecībā uz to, kam tiek piemērota atlaide, proti, vai ar izcelsmes apliecinājuma izsniegšanas maksu saprotama apliecinājuma izdošanas un citas ar izcelsmes apliecinājumu reģistra darbībām saistīto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Vienotais dabasgāzes pārvades un uzglabāšanas sistēmas operators ar izcelsmes apliecinājuma izdošanu un citām ar izcelsmes apliecinājumu reģistra darbībām saistīto izmaksu kompensēšanai var pieprasīt maksu. Iekārtām, kuru jauda ir mazāka par 50 kilovatiem (kW) un atjaunīgās enerģijas kopienām minētajai maksai piemēro atlaidi 50 procentu apmērā. Vienotais dabasgāzes pārvades un uzglabāšanas sistēmas operators izstrādā un publicē savā tīmekļvietnē maksas aprēķināšanas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02.12.2024. 08.51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02.12.2024. 08.51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