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attiecībā uz šo noteikumu 11.2., 11.3., 11.4., 11.5. un 11.6. apakšpunktā minēto un investīcijas 2.1.2.1.i. nolūka "Pašvaldību pakalpojumu digitālā transformācija un pašvaldību atbalsta procesu modernizācija un centralizācija" finansējuma saņēmēju projektiem veic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par grozījumiem 18.1. apakšpunktā teikts: "precizēts MK noteikumu Nr. 435 18.1. apakšpunkts un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attiecībā uz šo noteikumu 11.2., 11.3., 11.4., 11.5. un 11.6. apakšpunktā minēto finansējuma saņēmēju projektiem veic šādas darbības:”;", kas neatbilst grozījumu projektam.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15.11.2024. 09.22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15.11.2024. 09.22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