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akreditētie valsts muzeji var saņemt valsts garantētu apdrošināšanu starptautisku izstāžu 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muzejs pirms atbalsta saņemšanas ir iesniedzis apliecinājumu, kas apliecina atbilstību regulas Nr. 651/2014 2. panta 18. punkta "c"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44.4. apakšpunktā ir noteikts, ka “</w:t>
            </w:r>
            <w:r w:rsidR="00000000" w:rsidRPr="00000000" w:rsidDel="00000000">
              <w:rPr>
                <w:i w:val="1"/>
                <w:rtl w:val="0"/>
              </w:rPr>
              <w:t xml:space="preserve">muzejs pirms atbalsta saņemšanas ir iesniedzis apliecinājumu, kas apliecina atbilstību regulas Nr. 651/2014 2. panta 18. punkta “c” apakšpunkta nosacījumiem</w:t>
            </w:r>
            <w:r w:rsidR="00000000" w:rsidRPr="00000000" w:rsidDel="00000000">
              <w:rPr>
                <w:rtl w:val="0"/>
              </w:rPr>
              <w:t xml:space="preserve">”. Eiropas Komisijas 2014. gada 17. jūnija Regulas (ES) Nr. 651/2014, ar ko noteiktas atbalsta kategorijas atzīst par saderīgām ar iekšējo tirgu, piemērojot Līguma 107. un 108.pantu (turpmāk - Regula Nr. 651/2014), 2. panta 18. punkta “c” apakšpunkts nosaka definīciju terminam “</w:t>
            </w:r>
            <w:r w:rsidR="00000000" w:rsidRPr="00000000" w:rsidDel="00000000">
              <w:rPr>
                <w:i w:val="1"/>
                <w:rtl w:val="0"/>
              </w:rPr>
              <w:t xml:space="preserve">grūtībās nonācis uzņēmums</w:t>
            </w:r>
            <w:r w:rsidR="00000000" w:rsidRPr="00000000" w:rsidDel="00000000">
              <w:rPr>
                <w:rtl w:val="0"/>
              </w:rPr>
              <w:t xml:space="preserve">”, kas cita starpā var attiekties uz kolektīvu maksātnespējas procedūru. Vēršam uzmanību, ka no minētā regulējuma nav skaidri saprotams, kāds tieši apliecinājums ir iesniedzams, kādā formā tas sagatavojams, kāds ir tā saturs, kā arī - kurai institūcijai tas iesniedzams. Attiecīgi aicinām precizēt noteikumu projekta 44.4.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Attiecībā uz darbības atbalstu atbalsts nepārsniedz summu, kas vajadzīga pamatdarbības zaudējumu segšanai un samērīgai peļņai attiecīgajā periodā. To nosaka pirms garantijas piešķiršanas saskaņā ar pamatotām prognozēm vai izmanto atgūšanas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45. punkts dublē Regulas Nr.651/2014 53. panta 7. punktu. Skaidrojam, ka saskaņā ar Līguma par Eiropas Savienības darbību 288.panta otro daļu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Attiecīgi aicinām precizēt noteikuma projekta 45. punktu, novēršot dublēšanos. Papildus aicinām izvērtēt un precizēt noteikumu projekta 48.punktu, kas pirmšķietami dublē Regulas Nr. 651/2014 12.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02.02.2026.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25-TA-2339</w:t>
    </w:r>
    <w:r>
      <w:br/>
    </w:r>
    <w:r w:rsidR="00000000" w:rsidRPr="00000000" w:rsidDel="00000000">
      <w:rPr>
        <w:rtl w:val="0"/>
      </w:rPr>
      <w:t xml:space="preserve">Izdrukāts 02.02.2026.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Atzinumi_25-TA-2339.docx</dc:title>
</cp:coreProperties>
</file>

<file path=docProps/custom.xml><?xml version="1.0" encoding="utf-8"?>
<Properties xmlns="http://schemas.openxmlformats.org/officeDocument/2006/custom-properties" xmlns:vt="http://schemas.openxmlformats.org/officeDocument/2006/docPropsVTypes"/>
</file>