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aprīļa noteikumos Nr. 281 "Augstas detalizācijas topogrāfiskās informācijas un tās centrālās datubāzes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Ministru kabineta 2025. gada 29. aprīļa sēdes protokola Nr. 17 35.§ 2. punktā doto uzdevumu, kurā savukārt tiek noteikts, ka grozījumi normatīvajos aktos veicami pēc nepieciešamā finansējuma nodrošināšanas un, ņemot vērā, ka nepieciešamais finansējums tiek nodrošināts no projekta "Vienotā būves datu reģistrācijas procesa transformācija" paredzētā finansējuma atbilstoši Ministru kabineta 2025. gada 18. marta rīkojumam Nr. 164  (prot. Nr.11 36§), lūdzam precizēt anotācijas 3.sadaļu,  iekļaujot atsauci, ka noteikumu projektā iekļautās normas tiek īstenotas projekta “Vienotā būves datu reģistrācijas procesa transformācija”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03.09.2025.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03.09.2025.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Atzinumi_25-TA-1264.docx</dc:title>
</cp:coreProperties>
</file>

<file path=docProps/custom.xml><?xml version="1.0" encoding="utf-8"?>
<Properties xmlns="http://schemas.openxmlformats.org/officeDocument/2006/custom-properties" xmlns:vt="http://schemas.openxmlformats.org/officeDocument/2006/docPropsVTypes"/>
</file>