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oktobra noteikumos Nr. 660 "Energoefektivitātes monitoringa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Sistēmas operators, izpildot </w:t>
            </w:r>
            <w:r w:rsidR="00000000" w:rsidRPr="00000000" w:rsidDel="00000000">
              <w:rPr>
                <w:rtl w:val="0"/>
              </w:rPr>
              <w:t xml:space="preserve">Energoefektivitātes likuma</w:t>
            </w:r>
            <w:r w:rsidR="00000000" w:rsidRPr="00000000" w:rsidDel="00000000">
              <w:rPr>
                <w:rtl w:val="0"/>
              </w:rPr>
              <w:t xml:space="preserve"> 12. panta trīspadsmitajā daļā noteikto pienākumu, datus par iepriekšējo gadu iesniedz Energoresursu informācijas sistēmā aizpildot </w:t>
            </w:r>
            <w:r w:rsidR="00000000" w:rsidRPr="00000000" w:rsidDel="00000000">
              <w:rPr>
                <w:rtl w:val="0"/>
              </w:rPr>
              <w:t xml:space="preserve">5. </w:t>
            </w:r>
            <w:r w:rsidR="00000000" w:rsidRPr="00000000" w:rsidDel="00000000">
              <w:rPr>
                <w:rtl w:val="0"/>
              </w:rPr>
              <w:t xml:space="preserve">pielikumu</w:t>
            </w:r>
            <w:r w:rsidR="00000000" w:rsidRPr="00000000" w:rsidDel="00000000">
              <w:rPr>
                <w:rtl w:val="0"/>
              </w:rPr>
              <w:t xml:space="preserve"> un </w:t>
            </w:r>
            <w:r w:rsidR="00000000" w:rsidRPr="00000000" w:rsidDel="00000000">
              <w:rPr>
                <w:rtl w:val="0"/>
              </w:rPr>
              <w:t xml:space="preserve">6. </w:t>
            </w:r>
            <w:r w:rsidR="00000000" w:rsidRPr="00000000" w:rsidDel="00000000">
              <w:rPr>
                <w:rtl w:val="0"/>
              </w:rPr>
              <w:t xml:space="preserve">pielikumu</w:t>
            </w:r>
            <w:r w:rsidR="00000000" w:rsidRPr="00000000" w:rsidDel="00000000">
              <w:rPr>
                <w:rtl w:val="0"/>
              </w:rPr>
              <w:t xml:space="preserve"> līdz tekošā gada 31.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šo grozījumu 10.punktu tiek izmainīts noteikumu 15.punkts un ieviesti 5., un 6.pielikums, nosakot, kādu informāciju sistēmas operatoram ir jāsniedz par lietotājiem, kas iepriekšējā gadā patērējuši vairāk par 500 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Iesniedzamo datu apjomā tagad tiek iekļauti šādi lauki: "Objekta kadastra numurs", "Objekta veids". Sistēmas operators savās sistēmās neuztur šādus datus par lietotāja objektu. Pieslēguma vietas (elektroietaišu piederības robežas) atrašanās vieta var neatbilst objekta atrašanās vietai un objekta kadastra numuram, it īpaši lieljaudas pieslēgumu gadījumā. Sistēmas operatora rīcībā objektīvi var nebūt šādi dati. Tāpat ir neskaidrs lauks "Objekta veids" - nav saprotams, kāda veida raksturojums par objektu šajā laukā būtu sniedzams. Sistēmas operators neuztur datus par lietotāja objektu. Ja šādi dati sistēmā pieslēguma ierīkošanas laikā arī ir bijuši reģistrēti, nav zināma atbilstība faktiskajai aktuālajai situācijai. Pēc pieslēguma ierīkošanas, objekta lietošanas veids var būt mainījies. Neviens normatīvais akts neuzliek pienākumu lietotājam sniegt un operatoram iegūt informāciju par "Objekta veidu" un citiem lietotāja objektu raksturojošiem parametriem. Operators var sniegt informāciju par pieslēguma tehniskajiem parametriem, objekta elektroenerģijas patēriņu, bet nevar sniegt citu informāciju. Pēc juridiskās personas nosaukuma, reģistrācijas numura, objekta adreses, nepieciešamības gadījumā attiecīgo informāciju atbildīgajām iestādēm būtu jāgūst no citām valsts sistēmām vai datubāzēm, vai arī objekta īpašnieka. Jau 2023.gadā tika uzsākta datu apkopošana ERIS sistēmā un tika pieprasīta informācija par kadastra numuru, tomēr pilnīgus datus par visiem objektiem nodrošināt nebija iespējams, vienojoties ar BVKB šajos laukos tika ievadītas "nulles". Arī 2024.gadā apkopojot informāciju par lielo elektroenerģijas patērētāju objektiem, AS "Sadales tīkls" ir konstatējusi 346 objektus, kuru kadastra numuri operatora datubāzēs nav pieejami. AS "Sadales tīkls" iebilsts pret lauku "Objekta veids", "Objekta kadastra numurs" iekļaušanu 5.pielikumā uzskaitīto datu apjomā. Šie lauki nedrīkstētu būt obligāti aizpildāmi, jo attiecīga informācija objektīvi var ne būt operatora rīcībā - tie nav elektroenerģijas sistēmas un elektroenerģijas tirgus darbības nodrošināšanai nepieciešami dati. Objektu un lietotāju identificēšanai elektroenerģijas sistēmā tiek lietoti citi identifikatori.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Matulis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30.01.2024. 12.02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30.01.2024. 12.02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Atzinumi_23-TA-1231.docx</dc:title>
</cp:coreProperties>
</file>

<file path=docProps/custom.xml><?xml version="1.0" encoding="utf-8"?>
<Properties xmlns="http://schemas.openxmlformats.org/officeDocument/2006/custom-properties" xmlns:vt="http://schemas.openxmlformats.org/officeDocument/2006/docPropsVTypes"/>
</file>