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22-TA-2906: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patērētāju informēšanu par transporta enerģijas veidu un sastāvu, par transporta enerģijas salīdzināmām cenām un to aprēķināšanas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iebilst pret formulējumu noteikumu projekta anotācijā, ka PTAC ir kompetentā iestāde noteikumu II nodaļā noteikto prasību uzraudzībai. Atbilstoši Transporta enerģijas likuma 21.panta piektajai daļai PTAC uzrauga un kontrolē šī likuma 10.panta prasību izpildi. Savukārt likuma 10.pantā ir noteiktas prasības tikai attiecībā uz informāciju par uzlādes punktu izvietojamu, pieejamību un uzlādes informāciju, informāciju par pieejamiem alternatīvās degvielas veidiem un cenu norādīšanu salīdzināmās vienībās. Minētajā pantā nav noteiktas prasības, piemēram, attiecībā uz transporta enerģijas kvalitāti apliecinošo dokumentu vai to esamības pārbaudēm. Savukārt attiecībā uz IV nodaļu par salīdzināmo transporta enerģijas cenu salīdzināšanu, kas ir jaunas prasības un jauna kompetence, anotācijā nav skaidrota PTAC loma. Līdz ar to lūdzam anotācijā precīzi skaidrot PTAC un citu iestāžu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Kauliņa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atbilstoši šo noteikumu </w:t>
            </w:r>
            <w:r w:rsidR="00000000" w:rsidRPr="00000000" w:rsidDel="00000000">
              <w:rPr>
                <w:rtl w:val="0"/>
              </w:rPr>
              <w:t xml:space="preserve">11.1. </w:t>
            </w:r>
            <w:r w:rsidR="00000000" w:rsidRPr="00000000" w:rsidDel="00000000">
              <w:rPr>
                <w:rtl w:val="0"/>
              </w:rPr>
              <w:t xml:space="preserve">apakšpunktam</w:t>
            </w:r>
            <w:r w:rsidR="00000000" w:rsidRPr="00000000" w:rsidDel="00000000">
              <w:rPr>
                <w:rtl w:val="0"/>
              </w:rPr>
              <w:t xml:space="preserve"> salīdzināmās transporta enerģijas cenas ir jāpublicē vienam segmentam šo noteikumu </w:t>
            </w:r>
            <w:r w:rsidR="00000000" w:rsidRPr="00000000" w:rsidDel="00000000">
              <w:rPr>
                <w:rtl w:val="0"/>
              </w:rPr>
              <w:t xml:space="preserve">11.1.1.</w:t>
            </w:r>
            <w:r w:rsidR="00000000" w:rsidRPr="00000000" w:rsidDel="00000000">
              <w:rPr>
                <w:rtl w:val="0"/>
              </w:rPr>
              <w:t xml:space="preserve"> un </w:t>
            </w:r>
            <w:r w:rsidR="00000000" w:rsidRPr="00000000" w:rsidDel="00000000">
              <w:rPr>
                <w:rtl w:val="0"/>
              </w:rPr>
              <w:t xml:space="preserve">11.1.2. </w:t>
            </w:r>
            <w:r w:rsidR="00000000" w:rsidRPr="00000000" w:rsidDel="00000000">
              <w:rPr>
                <w:rtl w:val="0"/>
              </w:rPr>
              <w:t xml:space="preserve">apakšpunktā</w:t>
            </w:r>
            <w:r w:rsidR="00000000" w:rsidRPr="00000000" w:rsidDel="00000000">
              <w:rPr>
                <w:rtl w:val="0"/>
              </w:rPr>
              <w:t xml:space="preserve"> minētajiem transporta enerģijas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atsauci uz 11.1.apakšpunktu, kurā nav ietverti noteikumi transporta enerģijas cenu publicēšanai, bet gan informācijai, ko CSDD iesniedz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Kauliņa (PTAC)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22-TA-2906</w:t>
    </w:r>
    <w:r>
      <w:br/>
    </w:r>
    <w:r w:rsidR="00000000" w:rsidRPr="00000000" w:rsidDel="00000000">
      <w:rPr>
        <w:rtl w:val="0"/>
      </w:rPr>
      <w:t xml:space="preserve">Izdrukāts 20.01.2026. 18.38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22-TA-2906</w:t>
    </w:r>
    <w:r>
      <w:br/>
    </w:r>
    <w:r w:rsidR="00000000" w:rsidRPr="00000000" w:rsidDel="00000000">
      <w:rPr>
        <w:rtl w:val="0"/>
      </w:rPr>
      <w:t xml:space="preserve">Izdrukāts 20.01.2026. 18.38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Atzinumi_22-TA-2906.docx</dc:title>
</cp:coreProperties>
</file>

<file path=docProps/custom.xml><?xml version="1.0" encoding="utf-8"?>
<Properties xmlns="http://schemas.openxmlformats.org/officeDocument/2006/custom-properties" xmlns:vt="http://schemas.openxmlformats.org/officeDocument/2006/docPropsVTypes"/>
</file>