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sadarbības tīkla dalībnieku vietējās un starptautiskās sadarbības sekmēšanas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sadarbības tīkla dalībnieku vietējās un starptautiskās sadarbības sekmēšanas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35.2.1.vizītes pie ārvalstu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35.2.2. komerciālās sadarbības sekmēšanas pasākumi, tai skaitā dalība starptautiskajās konferencēs un izstādēs;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pieredzes apmaiņas un zināšanu pārneses pasākumi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turpmākā pēctecībā sadaļā “V.Attiecināmās un neattiecināmās izmaksas” nav minēts, ka sadarbības tīklu darbiniekiem tiktu attiecinātas izmaksas, kas saistītas ar vizītēm pie ārvalstu partneriem. Sadarbības brokeriem, apdrošināšanas kompānijām, ārvalstu klīnikām, komerciālās sadarbības sekmēšanas pasākumiem, attiecīgi komandējumu izmaksas, telpu nomas izmaksas, kas saistītas, piemēram ar ārstu semināriem ārvalstu ārstiem, diasporai un ārvalstu vietējiem iedzīvotājiem vai ārstu pirmreizējām konsultācijām. Ņemot vērā iepriekš minēto, lūdzam iekļaut MK noteikumos šādas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39. punktu ar šādiem jauniem noteikumu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 Izmaksas, kas saistītas ar vizītēm pie ārvalstu partneriem un komerciālās sadarbības sekmēšanas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39.15.1. Konferenču, semināru telpu nomas un aprīkojuma, kafijas paužu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39.15.2. sadarbības tīkla dalībnieku komandējumu izmaksas, tai skaitā transporta, naktsmītnes un dienas naudas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39.16. Sadarbības tīklu biedriem izmaksas, kas saistītas ar starptautisku sertifikācijas procesu iziešanu.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iesaiste starptautiskās sadarbības platformās;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35.2.6.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iesaiste starptautiskās sadarbības platformās </w:t>
            </w:r>
            <w:r w:rsidR="00000000" w:rsidRPr="00000000" w:rsidDel="00000000">
              <w:rPr>
                <w:u w:val="single"/>
                <w:rtl w:val="0"/>
              </w:rPr>
              <w:t xml:space="preserve">un organizācijās.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avansa maksājums nepārsniedz 35 %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35 % atvēlēšanai no kopējā projekta izmaksām avansa piešķiršanai. Aicinām Ministru Kabineta noteikumos iestrādāt sekojošu punktu: "Finansējuma saņēmējs var saņemt vairākus avansus, bet nākamo avansu var saņemt pēc tam, kad iepriekšējais ir apgūts pilnā apmērā. Kopējā avansa summa nedrīkst pārsniegt 90% no kopējā investīcijas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