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Gadījumā, ja šo noteikumu </w:t>
            </w:r>
            <w:r w:rsidR="00000000" w:rsidRPr="00000000" w:rsidDel="00000000">
              <w:rPr>
                <w:rtl w:val="0"/>
              </w:rPr>
              <w:t xml:space="preserve">27.15.</w:t>
            </w:r>
            <w:r w:rsidR="00000000" w:rsidRPr="00000000" w:rsidDel="00000000">
              <w:rPr>
                <w:rtl w:val="0"/>
              </w:rPr>
              <w:t xml:space="preserve"> apakšpunktā minētās darbības veic pašvaldības iestāde, kas ir sabiedrisko ūdenssaimniecības pakalpojumu sniedzēja, pašvaldības iestādei ir jāievēro šādus ūdenssaimniecības sabiedrisko pakalpojumu sniegšanas kārtības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pakalpojuma ar vispārēju tautsaimniecisku nozīmi sniegšanu uztic attiecīgajam uzņēmumam ar vienu vai vairākiem aktiem, lūdzam precizēt noteikumu 23.</w:t>
            </w:r>
            <w:r w:rsidR="00000000" w:rsidRPr="00000000" w:rsidDel="00000000">
              <w:rPr>
                <w:vertAlign w:val="superscript"/>
                <w:rtl w:val="0"/>
              </w:rPr>
              <w:t xml:space="preserve">1 </w:t>
            </w:r>
            <w:r w:rsidR="00000000" w:rsidRPr="00000000" w:rsidDel="00000000">
              <w:rPr>
                <w:rtl w:val="0"/>
              </w:rPr>
              <w:t xml:space="preserve">un 23.</w:t>
            </w:r>
            <w:r w:rsidR="00000000" w:rsidRPr="00000000" w:rsidDel="00000000">
              <w:rPr>
                <w:vertAlign w:val="superscript"/>
                <w:rtl w:val="0"/>
              </w:rPr>
              <w:t xml:space="preserve">2 </w:t>
            </w:r>
            <w:r w:rsidR="00000000" w:rsidRPr="00000000" w:rsidDel="00000000">
              <w:rPr>
                <w:rtl w:val="0"/>
              </w:rPr>
              <w:t xml:space="preserve">punktu, nosakot, kas būs tas pilnvarojuma akts, kurā ir iekļauti nosacījumi, kas izriet no  Eiropas Komisijas 2011. gada 20. decembra Lēmuma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r w:rsidR="00000000" w:rsidRPr="00000000" w:rsidDel="00000000">
              <w:rPr>
                <w:rtl w:val="0"/>
              </w:rPr>
              <w:t xml:space="preserve">(turpmāk - VTNP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atsauce uz VTNP lēmumu drīkst būt tajos noteikumu punktos, kur ir runa par nosacījumiem, kas jāiestrādā līgumos/lēmumos/saistošajos noteikumos par VTNP pakalpojumu sniegšanu, lai nodrošinātu atbilstību VTNP lēmuma 4. panta f) apakšpunktā noteiktajam, lūdzam papildināt noteikumu 23.</w:t>
            </w:r>
            <w:r w:rsidR="00000000" w:rsidRPr="00000000" w:rsidDel="00000000">
              <w:rPr>
                <w:vertAlign w:val="superscript"/>
                <w:rtl w:val="0"/>
              </w:rPr>
              <w:t xml:space="preserve">1</w:t>
            </w:r>
            <w:r w:rsidR="00000000" w:rsidRPr="00000000" w:rsidDel="00000000">
              <w:rPr>
                <w:rtl w:val="0"/>
              </w:rPr>
              <w:t xml:space="preserve"> punktu ar atsauci uz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noteikumu 19. punktā norādīto, ka projektu iesniedzēji ir pašvaldības un pašvaldību kapitālsabiedrības, lūdzam skaidrot un MK skaidri norādīt, kurš būs projekta iesniedzējs 23.</w:t>
            </w:r>
            <w:r w:rsidR="00000000" w:rsidRPr="00000000" w:rsidDel="00000000">
              <w:rPr>
                <w:vertAlign w:val="superscript"/>
                <w:rtl w:val="0"/>
              </w:rPr>
              <w:t xml:space="preserve">1</w:t>
            </w:r>
            <w:r w:rsidR="00000000" w:rsidRPr="00000000" w:rsidDel="00000000">
              <w:rPr>
                <w:rtl w:val="0"/>
              </w:rPr>
              <w:t xml:space="preserve"> punktā minētās pašvaldības iestādes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apliecinājumu, ka uz projekta iesniedzēju neattiecas neviena no </w:t>
            </w:r>
            <w:r w:rsidR="00000000" w:rsidRPr="00000000" w:rsidDel="00000000">
              <w:rPr>
                <w:rtl w:val="0"/>
              </w:rPr>
              <w:t xml:space="preserve">regulas Nr. 651/2014</w:t>
            </w:r>
            <w:r w:rsidR="00000000" w:rsidRPr="00000000" w:rsidDel="00000000">
              <w:rPr>
                <w:rtl w:val="0"/>
              </w:rPr>
              <w:t xml:space="preserve">  2. panta 18. punktā minētajām pazīmēm komercdarbības atbalsta gadījumā. Projekta iesniedzējs tiek vērtēts viena vienota uzņēmuma līmenī, ņemot vērā arī visus ar to saistītus uzņēmumus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2014. gada 17. jūnija Regulas Nr. 651/2014, ar ko noteiktas atbalsta kategorijas atzīst par saderīgām ar iekšējo tirgu, piemērojot Līguma 107. un 108. pantu (turpmāk - Komisijas Regula Nr. 651/2014) 2. panta 18. punkta nosacījumi ir jāvērtē/jāpiemēro uzņēmuma grupas līmenī (Komisijas Regulas Nr. 651/2014 angliskajā versijā nosacījumi, kas ir attiecināmi uz "undertaking", ir jāpārbauda/jāpiemēro uzņēmuma grupas līmenī). Ņemot vērā iepriekš minēto, lūdzam atbilstoši precizēt noteikumu 24.2. apakšpunkta otro teikumu, norādot, ka projekta iesniedzējs tiek vērtēts grupas līmenī, nevis viena vienota uzņēmuma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iepriekš minēto, lūdzam atbilstoši precizēt arī noteikumu 62. punktu, norādot, ka projekta iesniedzējs tiek vērtēts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grūtībās nonākuša uzņēmuma pazīmes izvērtē uz projekta apstiprināšanas brīdi. Ņemot vērā, ka finansējuma saņēmējs ir projekta iesniedzējs, kuram jau ir apstiprināts projekts un kurš jau ir izvērtēts, kā arī ņemot vērā noteikumu 66. punktu, ka komercdarbības atbalsta piešķiršanas diena ir diena, kad sadarbības iestāde pieņem lēmumu par projekta iesnieguma apstiprināšanu, lūdzam precizēt noteikumu 62. punktu, ka tiek vērtēts projekta iesniedzējs. Lūdzam atbilstoši precizēt arī citus noteikumu punktus, piemēram, 57.2.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Projekta iesniedzējs iesniedz sadarbības iestādē VTNP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iesniegšanu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24.09.2025.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24.09.2025.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